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28CA2">
      <w:pPr>
        <w:ind w:right="-59" w:rightChars="-28" w:firstLine="116" w:firstLineChars="18"/>
        <w:jc w:val="distribute"/>
        <w:rPr>
          <w:rFonts w:ascii="Times New Roman" w:hAnsi="Times New Roman" w:eastAsia="仿宋_GB2312"/>
          <w:sz w:val="32"/>
          <w:szCs w:val="32"/>
        </w:rPr>
      </w:pPr>
      <w:r>
        <w:rPr>
          <w:rFonts w:ascii="Times New Roman" w:hAnsi="Times New Roman" w:eastAsia="方正小标宋_GBK"/>
          <w:bCs/>
          <w:color w:val="FF0000"/>
          <w:spacing w:val="-45"/>
          <w:w w:val="66"/>
          <w:kern w:val="0"/>
          <w:sz w:val="112"/>
          <w:szCs w:val="112"/>
        </w:rPr>
        <w:t>中共常州市人民检察院党组</w:t>
      </w:r>
    </w:p>
    <w:p w14:paraId="6F174D46">
      <w:pPr>
        <w:jc w:val="center"/>
        <w:rPr>
          <w:rFonts w:ascii="Times New Roman" w:hAnsi="Times New Roman" w:eastAsia="仿宋_GB2312"/>
          <w:sz w:val="32"/>
          <w:szCs w:val="32"/>
        </w:rPr>
      </w:pPr>
    </w:p>
    <w:p w14:paraId="3B282B96">
      <w:pPr>
        <w:jc w:val="center"/>
        <w:rPr>
          <w:rFonts w:ascii="Times New Roman" w:hAnsi="Times New Roman" w:eastAsia="仿宋_GB2312"/>
          <w:sz w:val="32"/>
          <w:szCs w:val="32"/>
        </w:rPr>
      </w:pPr>
      <w:r>
        <w:rPr>
          <w:rFonts w:eastAsia="方正小标宋简体"/>
          <w:sz w:val="44"/>
          <w:szCs w:val="44"/>
        </w:rPr>
        <mc:AlternateContent>
          <mc:Choice Requires="wps">
            <w:drawing>
              <wp:anchor distT="0" distB="0" distL="114300" distR="114300" simplePos="0" relativeHeight="251659264" behindDoc="0" locked="0" layoutInCell="1" allowOverlap="1">
                <wp:simplePos x="0" y="0"/>
                <wp:positionH relativeFrom="margin">
                  <wp:posOffset>-193040</wp:posOffset>
                </wp:positionH>
                <wp:positionV relativeFrom="margin">
                  <wp:posOffset>1633220</wp:posOffset>
                </wp:positionV>
                <wp:extent cx="6162040" cy="0"/>
                <wp:effectExtent l="0" t="10795" r="10160" b="17780"/>
                <wp:wrapNone/>
                <wp:docPr id="1" name="直线 34"/>
                <wp:cNvGraphicFramePr/>
                <a:graphic xmlns:a="http://schemas.openxmlformats.org/drawingml/2006/main">
                  <a:graphicData uri="http://schemas.microsoft.com/office/word/2010/wordprocessingShape">
                    <wps:wsp>
                      <wps:cNvSpPr/>
                      <wps:spPr>
                        <a:xfrm>
                          <a:off x="0" y="0"/>
                          <a:ext cx="616204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直线 34" o:spid="_x0000_s1026" o:spt="20" style="position:absolute;left:0pt;margin-left:-15.2pt;margin-top:128.6pt;height:0pt;width:485.2pt;mso-position-horizontal-relative:margin;mso-position-vertical-relative:margin;z-index:251659264;mso-width-relative:page;mso-height-relative:page;" filled="f" stroked="t" coordsize="21600,21600" o:gfxdata="UEsDBAoAAAAAAIdO4kAAAAAAAAAAAAAAAAAEAAAAZHJzL1BLAwQUAAAACACHTuJArqTWOtkAAAAL&#10;AQAADwAAAGRycy9kb3ducmV2LnhtbE2P0U7DMAxF35H4h8hIvG3JytigNN0DEkjAmNSND0gb01Zr&#10;nNJk3eDrMRISPNq+Oj43W51cJ0YcQutJw2yqQCBV3rZUa3jbPUxuQIRoyJrOE2r4xACr/PwsM6n1&#10;Rypw3MZaMIRCajQ0MfaplKFq0Jkw9T0S39794EzkcailHcyR4a6TiVIL6UxL/KExPd43WO23B8eU&#10;cblfv7x+FR/PrX8qHhebsu5Q68uLmboDEfEU/8Lwo8/qkLNT6Q9kg+g0TK7UnKMakutlAoITt3PF&#10;7crfjcwz+b9D/g1QSwMEFAAAAAgAh07iQAxV93HpAQAA3QMAAA4AAABkcnMvZTJvRG9jLnhtbK1T&#10;S44TMRDdI3EHy3vSnTBEqJXOLAhhg2CkYQ5Q8afbkn9yOenkLFyDFRuOM9eg3J3JwLDJgl64y67y&#10;q3qvyqvbo7PsoBKa4Fs+n9WcKS+CNL5r+cO37Zv3nGEGL8EGr1p+Ushv169frYbYqEXog5UqMQLx&#10;2Ayx5X3OsakqFL1ygLMQlSenDslBpm3qKplgIHRnq0VdL6shJBlTEAqRTjeTk58R0zWAQWsj1CaI&#10;vVM+T6hJWchECXsTka/HarVWIn/VGlVmtuXENI8rJSF7V9ZqvYKmSxB7I84lwDUlvODkwHhKeoHa&#10;QAa2T+YfKGdEChh0nongqonIqAixmNcvtLnvIaqRC0mN8SI6/j9Y8eVwl5iRNAmceXDU8MfvPx5/&#10;/mJvb4o4Q8SGYu7jXTrvkMzC9KiTK3/iwI6joKeLoOqYmaDD5Xy5qG9Ia/Hkq54vxoT5kwqOFaPl&#10;1vjCFRo4fMZMySj0KaQcW8+Gli/oe0d4QJOnqeNkukjVo+/GyxiskVtjbbmCqdt9sIkdgLq/3db0&#10;FU4E/FdYybIB7Ke40TXNRa9AfvSS5VMkXTw9B15qcEpyZhW9nmIRIDQZjL0mklJbTxUUWSchi7UL&#10;8kRd2Mdkup6kmI9VFg91faz3PKFlrP7cj0jPr3L9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6k&#10;1jrZAAAACwEAAA8AAAAAAAAAAQAgAAAAIgAAAGRycy9kb3ducmV2LnhtbFBLAQIUABQAAAAIAIdO&#10;4kAMVfdx6QEAAN0DAAAOAAAAAAAAAAEAIAAAACgBAABkcnMvZTJvRG9jLnhtbFBLBQYAAAAABgAG&#10;AFkBAACDBQAAAAA=&#10;">
                <v:fill on="f" focussize="0,0"/>
                <v:stroke weight="1.75pt" color="#FF0000" joinstyle="round"/>
                <v:imagedata o:title=""/>
                <o:lock v:ext="edit" aspectratio="f"/>
              </v:line>
            </w:pict>
          </mc:Fallback>
        </mc:AlternateContent>
      </w:r>
    </w:p>
    <w:p w14:paraId="4BE674C4">
      <w:pPr>
        <w:spacing w:line="580" w:lineRule="exact"/>
        <w:jc w:val="center"/>
        <w:rPr>
          <w:rFonts w:ascii="Times New Roman" w:hAnsi="Times New Roman" w:eastAsia="方正小标宋简体"/>
          <w:color w:val="000000"/>
          <w:sz w:val="44"/>
          <w:szCs w:val="44"/>
        </w:rPr>
      </w:pPr>
      <w:bookmarkStart w:id="0" w:name="_GoBack"/>
      <w:r>
        <w:rPr>
          <w:rFonts w:ascii="Times New Roman" w:hAnsi="Times New Roman" w:eastAsia="方正小标宋简体"/>
          <w:color w:val="000000"/>
          <w:sz w:val="44"/>
          <w:szCs w:val="44"/>
        </w:rPr>
        <w:t>中共常州市人民检察院党组</w:t>
      </w:r>
    </w:p>
    <w:p w14:paraId="63279C7A">
      <w:pPr>
        <w:spacing w:line="580" w:lineRule="exact"/>
        <w:jc w:val="center"/>
        <w:rPr>
          <w:rFonts w:hint="eastAsia" w:ascii="Times New Roman" w:hAnsi="Times New Roman" w:eastAsia="方正小标宋简体"/>
          <w:color w:val="000000"/>
          <w:sz w:val="44"/>
          <w:szCs w:val="44"/>
        </w:rPr>
      </w:pPr>
      <w:r>
        <w:rPr>
          <w:rFonts w:ascii="Times New Roman" w:hAnsi="Times New Roman" w:eastAsia="方正小标宋简体"/>
          <w:color w:val="000000"/>
          <w:sz w:val="44"/>
          <w:szCs w:val="44"/>
        </w:rPr>
        <w:t>关于巡察集中整改进展情况的通报</w:t>
      </w:r>
    </w:p>
    <w:bookmarkEnd w:id="0"/>
    <w:p w14:paraId="47E3810A">
      <w:pPr>
        <w:spacing w:line="580" w:lineRule="exact"/>
        <w:ind w:firstLine="616"/>
        <w:rPr>
          <w:rFonts w:ascii="Times New Roman" w:hAnsi="Times New Roman"/>
          <w:bCs/>
          <w:color w:val="000000"/>
          <w:spacing w:val="-6"/>
          <w:szCs w:val="32"/>
        </w:rPr>
      </w:pPr>
    </w:p>
    <w:p w14:paraId="7B608186">
      <w:pPr>
        <w:overflowPunct w:val="0"/>
        <w:snapToGrid w:val="0"/>
        <w:spacing w:line="580" w:lineRule="exact"/>
        <w:ind w:firstLine="640" w:firstLineChars="200"/>
        <w:rPr>
          <w:rFonts w:ascii="Times New Roman" w:hAnsi="Times New Roman" w:eastAsia="仿宋_GB2312"/>
          <w:bCs/>
          <w:color w:val="000000"/>
          <w:sz w:val="32"/>
          <w:szCs w:val="32"/>
        </w:rPr>
      </w:pPr>
      <w:r>
        <w:rPr>
          <w:rFonts w:ascii="Times New Roman" w:hAnsi="Times New Roman" w:eastAsia="仿宋_GB2312"/>
          <w:bCs/>
          <w:color w:val="000000"/>
          <w:sz w:val="32"/>
          <w:szCs w:val="32"/>
        </w:rPr>
        <w:t>根据市委统一部署，2025年4月8日至6月12日，市委第六巡察组对中共常州市人民检察院党组进行了巡察。7月14日，市委第六巡察组向中共常州市人民检察院党组反馈了巡察意见。按照党务公开原则和巡察工作有关要求，现将巡察整改情况予以公布。</w:t>
      </w:r>
    </w:p>
    <w:p w14:paraId="2EC981B5">
      <w:pPr>
        <w:spacing w:line="580" w:lineRule="exact"/>
        <w:ind w:firstLine="640"/>
        <w:rPr>
          <w:rFonts w:ascii="Times New Roman" w:hAnsi="Times New Roman" w:eastAsia="黑体"/>
          <w:color w:val="000000"/>
          <w:sz w:val="32"/>
          <w:szCs w:val="32"/>
        </w:rPr>
      </w:pPr>
      <w:r>
        <w:rPr>
          <w:rFonts w:ascii="Times New Roman" w:hAnsi="Times New Roman" w:eastAsia="黑体"/>
          <w:color w:val="000000"/>
          <w:sz w:val="32"/>
          <w:szCs w:val="32"/>
        </w:rPr>
        <w:t>一、巡察整改组织领导情况</w:t>
      </w:r>
    </w:p>
    <w:p w14:paraId="75ABEDD9">
      <w:pPr>
        <w:overflowPunct w:val="0"/>
        <w:snapToGrid w:val="0"/>
        <w:spacing w:line="580" w:lineRule="exact"/>
        <w:ind w:firstLine="640" w:firstLineChars="200"/>
        <w:rPr>
          <w:rFonts w:ascii="Times New Roman" w:hAnsi="Times New Roman" w:eastAsia="仿宋_GB2312"/>
          <w:bCs/>
          <w:color w:val="000000"/>
          <w:sz w:val="32"/>
          <w:szCs w:val="32"/>
        </w:rPr>
      </w:pPr>
      <w:r>
        <w:rPr>
          <w:rFonts w:ascii="Times New Roman" w:hAnsi="Times New Roman" w:eastAsia="仿宋_GB2312"/>
          <w:bCs/>
          <w:color w:val="000000"/>
          <w:sz w:val="32"/>
          <w:szCs w:val="32"/>
        </w:rPr>
        <w:t>市检察院党组坚持把巡察整改作为一项重大政治任务，摆上院重要议事日程，切实加强组织领导、研究部署、跟踪督办，确保巡察整改各项任务得到有效落实。</w:t>
      </w:r>
    </w:p>
    <w:p w14:paraId="760F2773">
      <w:pPr>
        <w:overflowPunct w:val="0"/>
        <w:snapToGrid w:val="0"/>
        <w:spacing w:line="580" w:lineRule="exact"/>
        <w:rPr>
          <w:rFonts w:ascii="Times New Roman" w:hAnsi="Times New Roman" w:eastAsia="仿宋_GB2312"/>
          <w:bCs/>
          <w:color w:val="000000"/>
          <w:sz w:val="32"/>
          <w:szCs w:val="32"/>
        </w:rPr>
      </w:pPr>
      <w:r>
        <w:rPr>
          <w:rFonts w:ascii="Times New Roman" w:hAnsi="Times New Roman" w:eastAsia="楷体_GB2312"/>
          <w:bCs/>
          <w:color w:val="000000"/>
          <w:sz w:val="32"/>
          <w:szCs w:val="32"/>
          <w:lang w:val="en"/>
        </w:rPr>
        <w:t xml:space="preserve">    （一）</w:t>
      </w:r>
      <w:r>
        <w:rPr>
          <w:rFonts w:ascii="Times New Roman" w:hAnsi="Times New Roman" w:eastAsia="楷体_GB2312"/>
          <w:bCs/>
          <w:color w:val="000000"/>
          <w:sz w:val="32"/>
          <w:szCs w:val="32"/>
        </w:rPr>
        <w:t>提高政治站位，统一思想认识。</w:t>
      </w:r>
      <w:r>
        <w:rPr>
          <w:rFonts w:ascii="Times New Roman" w:hAnsi="Times New Roman" w:eastAsia="仿宋_GB2312"/>
          <w:bCs/>
          <w:color w:val="000000"/>
          <w:sz w:val="32"/>
          <w:szCs w:val="32"/>
        </w:rPr>
        <w:t>召开党组扩大会议通报市委巡察反馈情况，组织全体检察人员深入学习贯彻习近平总书记关于巡视工作的重要论述，认真学习市委</w:t>
      </w:r>
      <w:r>
        <w:rPr>
          <w:rFonts w:hint="eastAsia" w:ascii="Times New Roman" w:hAnsi="Times New Roman" w:eastAsia="仿宋_GB2312"/>
          <w:bCs/>
          <w:color w:val="000000"/>
          <w:sz w:val="32"/>
          <w:szCs w:val="32"/>
        </w:rPr>
        <w:t>主要领导</w:t>
      </w:r>
      <w:r>
        <w:rPr>
          <w:rFonts w:ascii="Times New Roman" w:hAnsi="Times New Roman" w:eastAsia="仿宋_GB2312"/>
          <w:bCs/>
          <w:color w:val="000000"/>
          <w:sz w:val="32"/>
          <w:szCs w:val="32"/>
        </w:rPr>
        <w:t>在听取十三届市委第十轮巡察情况汇报时提出的整改要求，强化把抓好巡察整改作为坚定拥护“两个确立”、坚决做到“两个维护”的具体行动的思想认识，切实增强</w:t>
      </w:r>
      <w:r>
        <w:rPr>
          <w:rFonts w:hint="eastAsia" w:ascii="Times New Roman" w:hAnsi="Times New Roman" w:eastAsia="仿宋_GB2312"/>
          <w:bCs/>
          <w:color w:val="000000"/>
          <w:sz w:val="32"/>
          <w:szCs w:val="32"/>
        </w:rPr>
        <w:t>检察人员</w:t>
      </w:r>
      <w:r>
        <w:rPr>
          <w:rFonts w:ascii="Times New Roman" w:hAnsi="Times New Roman" w:eastAsia="仿宋_GB2312"/>
          <w:bCs/>
          <w:color w:val="000000"/>
          <w:sz w:val="32"/>
          <w:szCs w:val="32"/>
        </w:rPr>
        <w:t>抓好巡察整改的政治自觉、思想自觉、行动自觉。</w:t>
      </w:r>
    </w:p>
    <w:p w14:paraId="6F07A06F">
      <w:pPr>
        <w:overflowPunct w:val="0"/>
        <w:snapToGrid w:val="0"/>
        <w:spacing w:line="580" w:lineRule="exact"/>
        <w:rPr>
          <w:rFonts w:ascii="Times New Roman" w:hAnsi="Times New Roman" w:eastAsia="仿宋_GB2312"/>
          <w:bCs/>
          <w:color w:val="000000"/>
          <w:sz w:val="32"/>
          <w:szCs w:val="32"/>
        </w:rPr>
      </w:pPr>
      <w:r>
        <w:rPr>
          <w:rFonts w:ascii="Times New Roman" w:hAnsi="Times New Roman" w:eastAsia="楷体_GB2312"/>
          <w:bCs/>
          <w:color w:val="000000"/>
          <w:sz w:val="32"/>
          <w:szCs w:val="32"/>
          <w:lang w:val="en"/>
        </w:rPr>
        <w:t xml:space="preserve"> </w:t>
      </w:r>
      <w:r>
        <w:rPr>
          <w:rFonts w:ascii="Times New Roman" w:hAnsi="Times New Roman" w:eastAsia="楷体_GB2312"/>
          <w:bCs/>
          <w:color w:val="000000"/>
          <w:sz w:val="32"/>
          <w:szCs w:val="32"/>
        </w:rPr>
        <w:t xml:space="preserve"> </w:t>
      </w:r>
      <w:r>
        <w:rPr>
          <w:rFonts w:ascii="Times New Roman" w:hAnsi="Times New Roman" w:eastAsia="楷体_GB2312"/>
          <w:bCs/>
          <w:color w:val="000000"/>
          <w:sz w:val="32"/>
          <w:szCs w:val="32"/>
          <w:lang w:val="en"/>
        </w:rPr>
        <w:t xml:space="preserve">  （二）</w:t>
      </w:r>
      <w:r>
        <w:rPr>
          <w:rFonts w:ascii="Times New Roman" w:hAnsi="Times New Roman" w:eastAsia="楷体_GB2312"/>
          <w:bCs/>
          <w:color w:val="000000"/>
          <w:sz w:val="32"/>
          <w:szCs w:val="32"/>
        </w:rPr>
        <w:t>精心组织部署，迅速推动整改。</w:t>
      </w:r>
      <w:r>
        <w:rPr>
          <w:rFonts w:ascii="Times New Roman" w:hAnsi="Times New Roman" w:eastAsia="仿宋_GB2312"/>
          <w:bCs/>
          <w:color w:val="000000"/>
          <w:sz w:val="32"/>
          <w:szCs w:val="32"/>
        </w:rPr>
        <w:t>成立由党组书记、检察长陈兴生任组长的</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巡察整改工作领导小组和系统整改工作专班，切实加强对全市检察机关巡察整改工作领导，统筹推进巡察整改工作。及时召开巡察整改工作动员部署会，研究制定《中共常州市人民检察院党组关于市委巡察反馈意见整改工作方案》，对市委巡察反馈的</w:t>
      </w:r>
      <w:r>
        <w:rPr>
          <w:rFonts w:ascii="Times New Roman" w:hAnsi="Times New Roman" w:eastAsia="仿宋_GB2312"/>
          <w:bCs/>
          <w:color w:val="000000"/>
          <w:sz w:val="32"/>
          <w:szCs w:val="32"/>
          <w:lang w:val="en"/>
        </w:rPr>
        <w:t>35个</w:t>
      </w:r>
      <w:r>
        <w:rPr>
          <w:rFonts w:ascii="Times New Roman" w:hAnsi="Times New Roman" w:eastAsia="仿宋_GB2312"/>
          <w:bCs/>
          <w:color w:val="000000"/>
          <w:sz w:val="32"/>
          <w:szCs w:val="32"/>
        </w:rPr>
        <w:t>问题和全市检察系统存</w:t>
      </w:r>
      <w:r>
        <w:rPr>
          <w:rFonts w:ascii="Times New Roman" w:hAnsi="Times New Roman" w:eastAsia="仿宋_GB2312"/>
          <w:color w:val="000000"/>
          <w:sz w:val="32"/>
          <w:szCs w:val="32"/>
        </w:rPr>
        <w:t>在的8个方面24个共</w:t>
      </w:r>
      <w:r>
        <w:rPr>
          <w:rFonts w:ascii="Times New Roman" w:hAnsi="Times New Roman" w:eastAsia="仿宋_GB2312"/>
          <w:bCs/>
          <w:color w:val="000000"/>
          <w:sz w:val="32"/>
          <w:szCs w:val="32"/>
        </w:rPr>
        <w:t>性问题，逐一深入剖析，制定79项整改措施，细化责任分工，明确整改期限，对巡察整改实行“问题清单化、清单责任化、责任具体化”闭环管理。</w:t>
      </w:r>
    </w:p>
    <w:p w14:paraId="33846AD4">
      <w:pPr>
        <w:overflowPunct w:val="0"/>
        <w:snapToGrid w:val="0"/>
        <w:spacing w:line="580" w:lineRule="exact"/>
        <w:rPr>
          <w:rFonts w:ascii="Times New Roman" w:hAnsi="Times New Roman" w:eastAsia="仿宋_GB2312"/>
          <w:bCs/>
          <w:color w:val="000000"/>
          <w:sz w:val="32"/>
          <w:szCs w:val="32"/>
        </w:rPr>
      </w:pPr>
      <w:r>
        <w:rPr>
          <w:rFonts w:ascii="Times New Roman" w:hAnsi="Times New Roman" w:eastAsia="楷体_GB2312"/>
          <w:bCs/>
          <w:color w:val="000000"/>
          <w:sz w:val="32"/>
          <w:szCs w:val="32"/>
          <w:lang w:val="en"/>
        </w:rPr>
        <w:t xml:space="preserve">    （三）</w:t>
      </w:r>
      <w:r>
        <w:rPr>
          <w:rFonts w:ascii="Times New Roman" w:hAnsi="Times New Roman" w:eastAsia="楷体_GB2312"/>
          <w:bCs/>
          <w:color w:val="000000"/>
          <w:sz w:val="32"/>
          <w:szCs w:val="32"/>
        </w:rPr>
        <w:t>强化跟踪问效，压紧压实责任。</w:t>
      </w:r>
      <w:r>
        <w:rPr>
          <w:rFonts w:ascii="Times New Roman" w:hAnsi="Times New Roman" w:eastAsia="仿宋_GB2312"/>
          <w:bCs/>
          <w:color w:val="000000"/>
          <w:sz w:val="32"/>
          <w:szCs w:val="32"/>
        </w:rPr>
        <w:t>院党组坚决扛起巡察整改</w:t>
      </w:r>
      <w:r>
        <w:rPr>
          <w:rFonts w:hint="eastAsia" w:ascii="Times New Roman" w:hAnsi="Times New Roman" w:eastAsia="仿宋_GB2312"/>
          <w:bCs/>
          <w:color w:val="000000"/>
          <w:sz w:val="32"/>
          <w:szCs w:val="32"/>
        </w:rPr>
        <w:t>主体</w:t>
      </w:r>
      <w:r>
        <w:rPr>
          <w:rFonts w:ascii="Times New Roman" w:hAnsi="Times New Roman" w:eastAsia="仿宋_GB2312"/>
          <w:bCs/>
          <w:color w:val="000000"/>
          <w:sz w:val="32"/>
          <w:szCs w:val="32"/>
        </w:rPr>
        <w:t>责任，“一把手”切实履行第一责任人责任，主动认领重点难点问题7个，对重点问题和关键环节一抓到底。2025年8月，召开基层院检察长专题会议，对两级院整改工作进行再部署、再要求、再压实。对巡察反馈问题实行“动态跟踪、建账推进、挂账销号”管理，建立“周调度、月汇总”跟踪督办工作机制，以党组会、工作例会、专题推进会等形式研究巡察整改工作20次。结合</w:t>
      </w:r>
      <w:r>
        <w:rPr>
          <w:rFonts w:hint="eastAsia" w:ascii="Times New Roman" w:hAnsi="Times New Roman" w:eastAsia="仿宋_GB2312"/>
          <w:bCs/>
          <w:color w:val="000000"/>
          <w:sz w:val="32"/>
          <w:szCs w:val="32"/>
          <w:lang w:val="en"/>
        </w:rPr>
        <w:t>院领导班子</w:t>
      </w:r>
      <w:r>
        <w:rPr>
          <w:rFonts w:ascii="Times New Roman" w:hAnsi="Times New Roman" w:eastAsia="仿宋_GB2312"/>
          <w:bCs/>
          <w:color w:val="000000"/>
          <w:sz w:val="32"/>
          <w:szCs w:val="32"/>
        </w:rPr>
        <w:t>赴各基层院通报年度检察工作，对基层院巡察集中整改工作完成情况进行再督促、再提示和再检查。</w:t>
      </w:r>
    </w:p>
    <w:p w14:paraId="56D38C65">
      <w:pPr>
        <w:overflowPunct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楷体_GB2312"/>
          <w:bCs/>
          <w:color w:val="000000"/>
          <w:sz w:val="32"/>
          <w:szCs w:val="32"/>
        </w:rPr>
        <w:t>（四）</w:t>
      </w:r>
      <w:r>
        <w:rPr>
          <w:rFonts w:ascii="Times New Roman" w:hAnsi="Times New Roman" w:eastAsia="楷体_GB2312"/>
          <w:bCs/>
          <w:color w:val="000000"/>
          <w:sz w:val="32"/>
          <w:szCs w:val="32"/>
        </w:rPr>
        <w:t>坚持举一反三，深化成果转化。</w:t>
      </w:r>
      <w:r>
        <w:rPr>
          <w:rFonts w:ascii="Times New Roman" w:hAnsi="Times New Roman" w:eastAsia="仿宋_GB2312"/>
          <w:bCs/>
          <w:color w:val="000000"/>
          <w:sz w:val="32"/>
          <w:szCs w:val="32"/>
        </w:rPr>
        <w:t>召开巡察整改专题民主生活会，“一把手”代表班子作对照检查，带头开展个人对照检查，主动认领整改责任，班子成员依次对照检查，严肃开展批评和自我批评，制定措施抓好整改。坚持把“当下改”与“长久立”相结合，坚持把问题解决与建章立制相结合，从根本上找原因、强弱项、建制度、堵漏洞，举一反三推动整改。自整改工作开展以来，建立健全规章制度19项，切实扎牢制度的笼子，不断巩固扩大整改成果。截至目前，巡察反馈的13个方面35个具体问题中，已完成问题整改2</w:t>
      </w:r>
      <w:r>
        <w:rPr>
          <w:rFonts w:hint="eastAsia" w:ascii="Times New Roman" w:hAnsi="Times New Roman" w:eastAsia="仿宋_GB2312"/>
          <w:bCs/>
          <w:color w:val="000000"/>
          <w:sz w:val="32"/>
          <w:szCs w:val="32"/>
        </w:rPr>
        <w:t>7</w:t>
      </w:r>
      <w:r>
        <w:rPr>
          <w:rFonts w:ascii="Times New Roman" w:hAnsi="Times New Roman" w:eastAsia="仿宋_GB2312"/>
          <w:bCs/>
          <w:color w:val="000000"/>
          <w:sz w:val="32"/>
          <w:szCs w:val="32"/>
        </w:rPr>
        <w:t>个，涉及整改措施6</w:t>
      </w:r>
      <w:r>
        <w:rPr>
          <w:rFonts w:hint="eastAsia" w:ascii="Times New Roman" w:hAnsi="Times New Roman" w:eastAsia="仿宋_GB2312"/>
          <w:bCs/>
          <w:color w:val="000000"/>
          <w:sz w:val="32"/>
          <w:szCs w:val="32"/>
        </w:rPr>
        <w:t>3</w:t>
      </w:r>
      <w:r>
        <w:rPr>
          <w:rFonts w:ascii="Times New Roman" w:hAnsi="Times New Roman" w:eastAsia="仿宋_GB2312"/>
          <w:bCs/>
          <w:color w:val="000000"/>
          <w:sz w:val="32"/>
          <w:szCs w:val="32"/>
        </w:rPr>
        <w:t>项（集中整改期必须完成问题整改21个，涉及整改措施48项，提前完成问题整改</w:t>
      </w:r>
      <w:r>
        <w:rPr>
          <w:rFonts w:hint="eastAsia" w:ascii="Times New Roman" w:hAnsi="Times New Roman" w:eastAsia="仿宋_GB2312"/>
          <w:bCs/>
          <w:color w:val="000000"/>
          <w:sz w:val="32"/>
          <w:szCs w:val="32"/>
        </w:rPr>
        <w:t>6</w:t>
      </w:r>
      <w:r>
        <w:rPr>
          <w:rFonts w:ascii="Times New Roman" w:hAnsi="Times New Roman" w:eastAsia="仿宋_GB2312"/>
          <w:bCs/>
          <w:color w:val="000000"/>
          <w:sz w:val="32"/>
          <w:szCs w:val="32"/>
        </w:rPr>
        <w:t>个，涉及整改措施</w:t>
      </w:r>
      <w:r>
        <w:rPr>
          <w:rFonts w:hint="eastAsia" w:ascii="Times New Roman" w:hAnsi="Times New Roman" w:eastAsia="仿宋_GB2312"/>
          <w:bCs/>
          <w:color w:val="000000"/>
          <w:sz w:val="32"/>
          <w:szCs w:val="32"/>
        </w:rPr>
        <w:t>15</w:t>
      </w:r>
      <w:r>
        <w:rPr>
          <w:rFonts w:ascii="Times New Roman" w:hAnsi="Times New Roman" w:eastAsia="仿宋_GB2312"/>
          <w:bCs/>
          <w:color w:val="000000"/>
          <w:sz w:val="32"/>
          <w:szCs w:val="32"/>
        </w:rPr>
        <w:t>项），未完成的</w:t>
      </w:r>
      <w:r>
        <w:rPr>
          <w:rFonts w:hint="eastAsia" w:ascii="Times New Roman" w:hAnsi="Times New Roman" w:eastAsia="仿宋_GB2312"/>
          <w:bCs/>
          <w:color w:val="000000"/>
          <w:sz w:val="32"/>
          <w:szCs w:val="32"/>
        </w:rPr>
        <w:t>8</w:t>
      </w:r>
      <w:r>
        <w:rPr>
          <w:rFonts w:ascii="Times New Roman" w:hAnsi="Times New Roman" w:eastAsia="仿宋_GB2312"/>
          <w:bCs/>
          <w:color w:val="000000"/>
          <w:sz w:val="32"/>
          <w:szCs w:val="32"/>
        </w:rPr>
        <w:t>个问题中已完成整改措施</w:t>
      </w:r>
      <w:r>
        <w:rPr>
          <w:rFonts w:hint="eastAsia" w:ascii="Times New Roman" w:hAnsi="Times New Roman" w:eastAsia="仿宋_GB2312"/>
          <w:bCs/>
          <w:color w:val="000000"/>
          <w:sz w:val="32"/>
          <w:szCs w:val="32"/>
        </w:rPr>
        <w:t>6</w:t>
      </w:r>
      <w:r>
        <w:rPr>
          <w:rFonts w:ascii="Times New Roman" w:hAnsi="Times New Roman" w:eastAsia="仿宋_GB2312"/>
          <w:bCs/>
          <w:color w:val="000000"/>
          <w:sz w:val="32"/>
          <w:szCs w:val="32"/>
        </w:rPr>
        <w:t>项，</w:t>
      </w:r>
      <w:r>
        <w:rPr>
          <w:rFonts w:hint="eastAsia" w:ascii="Times New Roman" w:hAnsi="Times New Roman" w:eastAsia="仿宋_GB2312"/>
          <w:bCs/>
          <w:color w:val="000000"/>
          <w:sz w:val="32"/>
          <w:szCs w:val="32"/>
        </w:rPr>
        <w:t>10</w:t>
      </w:r>
      <w:r>
        <w:rPr>
          <w:rFonts w:ascii="Times New Roman" w:hAnsi="Times New Roman" w:eastAsia="仿宋_GB2312"/>
          <w:bCs/>
          <w:color w:val="000000"/>
          <w:sz w:val="32"/>
          <w:szCs w:val="32"/>
        </w:rPr>
        <w:t>项整改措施正在持续推进中，巡察整改工作取得明显进展。</w:t>
      </w:r>
    </w:p>
    <w:p w14:paraId="64B455EB">
      <w:pPr>
        <w:spacing w:line="580" w:lineRule="exact"/>
        <w:ind w:firstLine="640"/>
        <w:rPr>
          <w:rFonts w:ascii="Times New Roman" w:hAnsi="Times New Roman" w:eastAsia="黑体"/>
          <w:color w:val="000000"/>
          <w:sz w:val="32"/>
          <w:szCs w:val="32"/>
        </w:rPr>
      </w:pPr>
      <w:r>
        <w:rPr>
          <w:rFonts w:ascii="Times New Roman" w:hAnsi="Times New Roman" w:eastAsia="黑体"/>
          <w:bCs/>
          <w:color w:val="000000"/>
          <w:sz w:val="32"/>
          <w:szCs w:val="32"/>
        </w:rPr>
        <w:t>二、</w:t>
      </w:r>
      <w:r>
        <w:rPr>
          <w:rFonts w:ascii="Times New Roman" w:hAnsi="Times New Roman" w:eastAsia="黑体"/>
          <w:color w:val="000000"/>
          <w:sz w:val="32"/>
          <w:szCs w:val="32"/>
        </w:rPr>
        <w:t>整改进展情况及成效</w:t>
      </w:r>
    </w:p>
    <w:p w14:paraId="284615C5">
      <w:pPr>
        <w:overflowPunct w:val="0"/>
        <w:snapToGrid w:val="0"/>
        <w:spacing w:line="580" w:lineRule="exact"/>
        <w:ind w:firstLine="640" w:firstLineChars="200"/>
        <w:rPr>
          <w:rFonts w:ascii="Times New Roman" w:hAnsi="Times New Roman" w:eastAsia="楷体_GB2312"/>
          <w:bCs/>
          <w:color w:val="000000"/>
          <w:sz w:val="32"/>
          <w:szCs w:val="32"/>
        </w:rPr>
      </w:pPr>
      <w:r>
        <w:rPr>
          <w:rFonts w:ascii="Times New Roman" w:hAnsi="Times New Roman" w:eastAsia="楷体_GB2312"/>
          <w:bCs/>
          <w:color w:val="000000"/>
          <w:sz w:val="32"/>
          <w:szCs w:val="32"/>
        </w:rPr>
        <w:t>（一）集中整改期内已完成的整改事项</w:t>
      </w:r>
    </w:p>
    <w:p w14:paraId="7E71B2CC">
      <w:pPr>
        <w:overflowPunct w:val="0"/>
        <w:snapToGrid w:val="0"/>
        <w:spacing w:line="58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针对巡察反馈意见指出的需要整改的问题，真改实改，截至目前，共</w:t>
      </w:r>
      <w:r>
        <w:rPr>
          <w:rFonts w:ascii="Times New Roman" w:hAnsi="Times New Roman" w:eastAsia="仿宋_GB2312"/>
          <w:bCs/>
          <w:color w:val="000000"/>
          <w:sz w:val="32"/>
          <w:szCs w:val="32"/>
        </w:rPr>
        <w:t>计2</w:t>
      </w:r>
      <w:r>
        <w:rPr>
          <w:rFonts w:hint="eastAsia" w:ascii="Times New Roman" w:hAnsi="Times New Roman" w:eastAsia="仿宋_GB2312"/>
          <w:bCs/>
          <w:color w:val="000000"/>
          <w:sz w:val="32"/>
          <w:szCs w:val="32"/>
        </w:rPr>
        <w:t>7</w:t>
      </w:r>
      <w:r>
        <w:rPr>
          <w:rFonts w:ascii="Times New Roman" w:hAnsi="Times New Roman" w:eastAsia="仿宋_GB2312"/>
          <w:bCs/>
          <w:color w:val="000000"/>
          <w:sz w:val="32"/>
          <w:szCs w:val="32"/>
        </w:rPr>
        <w:t>个问题已整</w:t>
      </w:r>
      <w:r>
        <w:rPr>
          <w:rFonts w:ascii="Times New Roman" w:hAnsi="Times New Roman" w:eastAsia="仿宋_GB2312"/>
          <w:color w:val="000000"/>
          <w:sz w:val="32"/>
          <w:szCs w:val="32"/>
        </w:rPr>
        <w:t>改完成。</w:t>
      </w:r>
    </w:p>
    <w:p w14:paraId="78820A18">
      <w:pPr>
        <w:overflowPunct w:val="0"/>
        <w:snapToGrid w:val="0"/>
        <w:spacing w:line="58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1.关于“新理论学用结合不紧密”问题的整改。</w:t>
      </w:r>
    </w:p>
    <w:p w14:paraId="5464AC68">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一是强化理论武装，夯实思想根基。</w:t>
      </w:r>
      <w:r>
        <w:rPr>
          <w:rFonts w:ascii="Times New Roman" w:hAnsi="Times New Roman" w:eastAsia="仿宋_GB2312"/>
          <w:color w:val="000000"/>
          <w:sz w:val="32"/>
          <w:szCs w:val="32"/>
        </w:rPr>
        <w:t>修订《中共常州市人民检察院党组理论学习中心组学习实施办法》，</w:t>
      </w:r>
      <w:r>
        <w:rPr>
          <w:rFonts w:hint="eastAsia" w:ascii="Times New Roman" w:hAnsi="Times New Roman" w:eastAsia="仿宋_GB2312"/>
          <w:color w:val="000000"/>
          <w:sz w:val="32"/>
          <w:szCs w:val="32"/>
        </w:rPr>
        <w:t>严格执行</w:t>
      </w:r>
      <w:r>
        <w:rPr>
          <w:rFonts w:ascii="Times New Roman" w:hAnsi="Times New Roman" w:eastAsia="仿宋_GB2312"/>
          <w:color w:val="000000"/>
          <w:sz w:val="32"/>
          <w:szCs w:val="32"/>
        </w:rPr>
        <w:t>《2025年院党组理论学习中心组专题学习计划》，全年开展集中学习12次、交流研讨7次。聚焦《习近平谈治国理政》第五卷、习近平</w:t>
      </w:r>
      <w:r>
        <w:rPr>
          <w:rFonts w:hint="eastAsia" w:ascii="Times New Roman" w:hAnsi="Times New Roman" w:eastAsia="仿宋_GB2312"/>
          <w:color w:val="000000"/>
          <w:sz w:val="32"/>
          <w:szCs w:val="32"/>
        </w:rPr>
        <w:t>总书记</w:t>
      </w:r>
      <w:r>
        <w:rPr>
          <w:rFonts w:ascii="Times New Roman" w:hAnsi="Times New Roman" w:eastAsia="仿宋_GB2312"/>
          <w:color w:val="000000"/>
          <w:sz w:val="32"/>
          <w:szCs w:val="32"/>
        </w:rPr>
        <w:t>关于网络强国的重要思想等核心内容，分专题开展“中国式现代化常州实践”调研及习近平法治思想学习交流。</w:t>
      </w:r>
      <w:r>
        <w:rPr>
          <w:rFonts w:hint="eastAsia" w:ascii="Times New Roman" w:hAnsi="Times New Roman" w:eastAsia="仿宋_GB2312"/>
          <w:color w:val="000000"/>
          <w:sz w:val="32"/>
          <w:szCs w:val="32"/>
        </w:rPr>
        <w:t>丰富</w:t>
      </w:r>
      <w:r>
        <w:rPr>
          <w:rFonts w:ascii="Times New Roman" w:hAnsi="Times New Roman" w:eastAsia="仿宋_GB2312"/>
          <w:color w:val="000000"/>
          <w:sz w:val="32"/>
          <w:szCs w:val="32"/>
        </w:rPr>
        <w:t>学习形式，通过专题读书班、党课、辅导讲座、现场研学等活动深化理解，及时传达党的二十届四中全会精神</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中央八项规定</w:t>
      </w:r>
      <w:r>
        <w:rPr>
          <w:rFonts w:hint="eastAsia" w:ascii="Times New Roman" w:hAnsi="Times New Roman" w:eastAsia="仿宋_GB2312"/>
          <w:color w:val="000000"/>
          <w:sz w:val="32"/>
          <w:szCs w:val="32"/>
        </w:rPr>
        <w:t>精神等</w:t>
      </w:r>
      <w:r>
        <w:rPr>
          <w:rFonts w:ascii="Times New Roman" w:hAnsi="Times New Roman" w:eastAsia="仿宋_GB2312"/>
          <w:color w:val="000000"/>
          <w:sz w:val="32"/>
          <w:szCs w:val="32"/>
        </w:rPr>
        <w:t>，以集中研讨、互鉴交流推动理论学习走深走实。</w:t>
      </w:r>
      <w:r>
        <w:rPr>
          <w:rFonts w:ascii="Times New Roman" w:hAnsi="Times New Roman" w:eastAsia="仿宋_GB2312"/>
          <w:b/>
          <w:bCs/>
          <w:color w:val="000000"/>
          <w:sz w:val="32"/>
          <w:szCs w:val="32"/>
        </w:rPr>
        <w:t>二是建强信息队伍，完善工作机制。</w:t>
      </w:r>
      <w:r>
        <w:rPr>
          <w:rFonts w:ascii="Times New Roman" w:hAnsi="Times New Roman" w:eastAsia="仿宋_GB2312"/>
          <w:color w:val="000000"/>
          <w:sz w:val="32"/>
          <w:szCs w:val="32"/>
        </w:rPr>
        <w:t>优化信息队伍建设，新</w:t>
      </w:r>
      <w:r>
        <w:rPr>
          <w:rFonts w:hint="eastAsia" w:ascii="Times New Roman" w:hAnsi="Times New Roman" w:eastAsia="仿宋_GB2312"/>
          <w:color w:val="000000"/>
          <w:sz w:val="32"/>
          <w:szCs w:val="32"/>
        </w:rPr>
        <w:t>配备负责</w:t>
      </w:r>
      <w:r>
        <w:rPr>
          <w:rFonts w:ascii="Times New Roman" w:hAnsi="Times New Roman" w:eastAsia="仿宋_GB2312"/>
          <w:color w:val="000000"/>
          <w:sz w:val="32"/>
          <w:szCs w:val="32"/>
        </w:rPr>
        <w:t>信息工作的办公室副主任1名、专职信息员1名，组建16人市级兼职信息员队伍，补齐信息人才梯队短板。常态化开展学习培训、交流研讨、实训练兵、结对帮带等工作，印发办文提示6期。市检察院信息报送工作质效获最高检、省检察院肯定。</w:t>
      </w:r>
      <w:r>
        <w:rPr>
          <w:rFonts w:ascii="Times New Roman" w:hAnsi="Times New Roman" w:eastAsia="仿宋_GB2312"/>
          <w:b/>
          <w:bCs/>
          <w:color w:val="000000"/>
          <w:sz w:val="32"/>
          <w:szCs w:val="32"/>
        </w:rPr>
        <w:t>三是深化信息转化，提升应用效能。</w:t>
      </w:r>
      <w:r>
        <w:rPr>
          <w:rFonts w:ascii="Times New Roman" w:hAnsi="Times New Roman" w:eastAsia="仿宋_GB2312"/>
          <w:color w:val="000000"/>
          <w:sz w:val="32"/>
          <w:szCs w:val="32"/>
        </w:rPr>
        <w:t>建立健全检察信息与检察建议、建议提案、社情民意衔接转化机制，通过信息交办单、兼职信息员联席会议等方式推动检察信息、调研成果、类案检察建议等素材“线索互移、数据互通、成果互用”，4名检察干警受聘担任政协特约信息员。</w:t>
      </w:r>
    </w:p>
    <w:p w14:paraId="43625A23">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w:t>
      </w:r>
      <w:r>
        <w:rPr>
          <w:rFonts w:ascii="Times New Roman" w:hAnsi="Times New Roman" w:eastAsia="仿宋_GB2312"/>
          <w:color w:val="000000"/>
          <w:sz w:val="32"/>
          <w:szCs w:val="32"/>
        </w:rPr>
        <w:t>.关于“主动监督意识不强”问题的整改。</w:t>
      </w:r>
    </w:p>
    <w:p w14:paraId="4E6D5F41">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一是强化监督履职，提升办案质效。</w:t>
      </w:r>
      <w:r>
        <w:rPr>
          <w:rFonts w:ascii="Times New Roman" w:hAnsi="Times New Roman" w:eastAsia="仿宋_GB2312"/>
          <w:color w:val="000000"/>
          <w:sz w:val="32"/>
          <w:szCs w:val="32"/>
        </w:rPr>
        <w:t xml:space="preserve"> 2025年“四大检察”案件总量平稳，监督主动性增强，人均办案量与依职权监督案件量均居全省前列；53件案件入选最高检、</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典型案例，居</w:t>
      </w:r>
      <w:r>
        <w:rPr>
          <w:rFonts w:hint="eastAsia" w:ascii="Times New Roman" w:hAnsi="Times New Roman" w:eastAsia="仿宋_GB2312"/>
          <w:color w:val="000000"/>
          <w:sz w:val="32"/>
          <w:szCs w:val="32"/>
        </w:rPr>
        <w:t>省内</w:t>
      </w:r>
      <w:r>
        <w:rPr>
          <w:rFonts w:ascii="Times New Roman" w:hAnsi="Times New Roman" w:eastAsia="仿宋_GB2312"/>
          <w:color w:val="000000"/>
          <w:sz w:val="32"/>
          <w:szCs w:val="32"/>
        </w:rPr>
        <w:t>第二；15件案件获评优质（秀）案件，</w:t>
      </w:r>
      <w:r>
        <w:rPr>
          <w:rFonts w:hint="eastAsia" w:ascii="Times New Roman" w:hAnsi="Times New Roman" w:eastAsia="仿宋_GB2312"/>
          <w:color w:val="000000"/>
          <w:sz w:val="32"/>
          <w:szCs w:val="32"/>
        </w:rPr>
        <w:t>省内第一</w:t>
      </w:r>
      <w:r>
        <w:rPr>
          <w:rFonts w:ascii="Times New Roman" w:hAnsi="Times New Roman" w:eastAsia="仿宋_GB2312"/>
          <w:color w:val="000000"/>
          <w:sz w:val="32"/>
          <w:szCs w:val="32"/>
        </w:rPr>
        <w:t>；检察侦查立案8人，</w:t>
      </w:r>
      <w:r>
        <w:rPr>
          <w:rFonts w:hint="eastAsia" w:ascii="Times New Roman" w:hAnsi="Times New Roman" w:eastAsia="仿宋_GB2312"/>
          <w:color w:val="000000"/>
          <w:sz w:val="32"/>
          <w:szCs w:val="32"/>
        </w:rPr>
        <w:t>省内</w:t>
      </w:r>
      <w:r>
        <w:rPr>
          <w:rFonts w:ascii="Times New Roman" w:hAnsi="Times New Roman" w:eastAsia="仿宋_GB2312"/>
          <w:color w:val="000000"/>
          <w:sz w:val="32"/>
          <w:szCs w:val="32"/>
        </w:rPr>
        <w:t>第二。参与最高检部署的</w:t>
      </w:r>
      <w:r>
        <w:rPr>
          <w:rFonts w:hint="eastAsia" w:ascii="Times New Roman" w:hAnsi="Times New Roman" w:eastAsia="仿宋_GB2312"/>
          <w:color w:val="000000"/>
          <w:sz w:val="32"/>
          <w:szCs w:val="32"/>
        </w:rPr>
        <w:t>某</w:t>
      </w:r>
      <w:r>
        <w:rPr>
          <w:rFonts w:ascii="Times New Roman" w:hAnsi="Times New Roman" w:eastAsia="仿宋_GB2312"/>
          <w:color w:val="000000"/>
          <w:sz w:val="32"/>
          <w:szCs w:val="32"/>
        </w:rPr>
        <w:t>省女子监狱交叉巡回检察，</w:t>
      </w:r>
      <w:r>
        <w:rPr>
          <w:rFonts w:hint="eastAsia" w:ascii="Times New Roman" w:hAnsi="Times New Roman" w:eastAsia="仿宋_GB2312"/>
          <w:color w:val="000000"/>
          <w:sz w:val="32"/>
          <w:szCs w:val="32"/>
        </w:rPr>
        <w:t>工作成效得到上级院肯定</w:t>
      </w:r>
      <w:r>
        <w:rPr>
          <w:rFonts w:ascii="Times New Roman" w:hAnsi="Times New Roman" w:eastAsia="仿宋_GB2312"/>
          <w:color w:val="000000"/>
          <w:sz w:val="32"/>
          <w:szCs w:val="32"/>
        </w:rPr>
        <w:t>。全年无</w:t>
      </w:r>
      <w:r>
        <w:rPr>
          <w:rFonts w:hint="eastAsia" w:ascii="Times New Roman" w:hAnsi="Times New Roman" w:eastAsia="仿宋_GB2312"/>
          <w:color w:val="000000"/>
          <w:sz w:val="32"/>
          <w:szCs w:val="32"/>
        </w:rPr>
        <w:t>一审</w:t>
      </w:r>
      <w:r>
        <w:rPr>
          <w:rFonts w:ascii="Times New Roman" w:hAnsi="Times New Roman" w:eastAsia="仿宋_GB2312"/>
          <w:color w:val="000000"/>
          <w:sz w:val="32"/>
          <w:szCs w:val="32"/>
        </w:rPr>
        <w:t>判决无罪、刑事撤回抗诉、复议复核改变案件，无重大涉检舆情，监督权威与公信力显著提升。</w:t>
      </w:r>
      <w:r>
        <w:rPr>
          <w:rFonts w:ascii="Times New Roman" w:hAnsi="Times New Roman" w:eastAsia="仿宋_GB2312"/>
          <w:b/>
          <w:bCs/>
          <w:color w:val="000000"/>
          <w:sz w:val="32"/>
          <w:szCs w:val="32"/>
        </w:rPr>
        <w:t>二是深化协作监督，规范执法行为。</w:t>
      </w:r>
      <w:r>
        <w:rPr>
          <w:rFonts w:ascii="Times New Roman" w:hAnsi="Times New Roman" w:eastAsia="仿宋_GB2312"/>
          <w:color w:val="000000"/>
          <w:sz w:val="32"/>
          <w:szCs w:val="32"/>
        </w:rPr>
        <w:t>充分发挥侦查监督与协作配合办公室职能，集中清理2020年以来长期未结刑事案件</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一案入选全国审查逮捕优秀案例，一案入选全国立案监督典型案例，一案入选最高检违规异地执法专项</w:t>
      </w:r>
      <w:r>
        <w:rPr>
          <w:rFonts w:ascii="Times New Roman" w:hAnsi="Times New Roman" w:eastAsia="仿宋_GB2312" w:cs="Times New Roman"/>
          <w:color w:val="000000"/>
          <w:sz w:val="32"/>
          <w:szCs w:val="32"/>
        </w:rPr>
        <w:t>监督案例</w:t>
      </w:r>
      <w:r>
        <w:rPr>
          <w:rFonts w:ascii="Times New Roman" w:hAnsi="Times New Roman" w:eastAsia="仿宋_GB2312"/>
          <w:color w:val="000000"/>
          <w:sz w:val="32"/>
          <w:szCs w:val="32"/>
        </w:rPr>
        <w:t>，执法规范化水平</w:t>
      </w:r>
      <w:r>
        <w:rPr>
          <w:rFonts w:hint="eastAsia" w:ascii="Times New Roman" w:hAnsi="Times New Roman" w:eastAsia="仿宋_GB2312"/>
          <w:color w:val="000000"/>
          <w:sz w:val="32"/>
          <w:szCs w:val="32"/>
        </w:rPr>
        <w:t>有效</w:t>
      </w:r>
      <w:r>
        <w:rPr>
          <w:rFonts w:ascii="Times New Roman" w:hAnsi="Times New Roman" w:eastAsia="仿宋_GB2312"/>
          <w:color w:val="000000"/>
          <w:sz w:val="32"/>
          <w:szCs w:val="32"/>
        </w:rPr>
        <w:t>提升。</w:t>
      </w:r>
      <w:r>
        <w:rPr>
          <w:rFonts w:ascii="Times New Roman" w:hAnsi="Times New Roman" w:eastAsia="仿宋_GB2312"/>
          <w:b/>
          <w:bCs/>
          <w:color w:val="000000"/>
          <w:sz w:val="32"/>
          <w:szCs w:val="32"/>
        </w:rPr>
        <w:t>三是优化抗诉机制，增强司法权威。</w:t>
      </w:r>
      <w:r>
        <w:rPr>
          <w:rFonts w:ascii="Times New Roman" w:hAnsi="Times New Roman" w:eastAsia="仿宋_GB2312"/>
          <w:color w:val="000000"/>
          <w:sz w:val="32"/>
          <w:szCs w:val="32"/>
        </w:rPr>
        <w:t>成立诉判不一案件核查小组，每季度</w:t>
      </w:r>
      <w:r>
        <w:rPr>
          <w:rFonts w:hint="eastAsia" w:ascii="Times New Roman" w:hAnsi="Times New Roman" w:eastAsia="仿宋_GB2312"/>
          <w:color w:val="000000"/>
          <w:sz w:val="32"/>
          <w:szCs w:val="32"/>
        </w:rPr>
        <w:t>分析</w:t>
      </w:r>
      <w:r>
        <w:rPr>
          <w:rFonts w:ascii="Times New Roman" w:hAnsi="Times New Roman" w:eastAsia="仿宋_GB2312"/>
          <w:color w:val="000000"/>
          <w:sz w:val="32"/>
          <w:szCs w:val="32"/>
        </w:rPr>
        <w:t>核查情况，逐案分析近4年抗诉成功案件，提炼规则并建立“常检抗诉规则库”。2025年二审抗诉14件，二审抗诉与审监抗诉之比</w:t>
      </w:r>
      <w:r>
        <w:rPr>
          <w:rFonts w:hint="eastAsia" w:ascii="Times New Roman" w:hAnsi="Times New Roman" w:eastAsia="仿宋_GB2312"/>
          <w:color w:val="000000"/>
          <w:sz w:val="32"/>
          <w:szCs w:val="32"/>
        </w:rPr>
        <w:t>和</w:t>
      </w:r>
      <w:r>
        <w:rPr>
          <w:rFonts w:ascii="Times New Roman" w:hAnsi="Times New Roman" w:eastAsia="仿宋_GB2312"/>
          <w:color w:val="000000"/>
          <w:sz w:val="32"/>
          <w:szCs w:val="32"/>
        </w:rPr>
        <w:t>抗诉</w:t>
      </w:r>
      <w:r>
        <w:rPr>
          <w:rFonts w:hint="eastAsia" w:ascii="Times New Roman" w:hAnsi="Times New Roman" w:eastAsia="仿宋_GB2312"/>
          <w:color w:val="000000"/>
          <w:sz w:val="32"/>
          <w:szCs w:val="32"/>
        </w:rPr>
        <w:t>及时性明显</w:t>
      </w:r>
      <w:r>
        <w:rPr>
          <w:rFonts w:ascii="Times New Roman" w:hAnsi="Times New Roman" w:eastAsia="仿宋_GB2312"/>
          <w:color w:val="000000"/>
          <w:sz w:val="32"/>
          <w:szCs w:val="32"/>
        </w:rPr>
        <w:t>提高，有效维护司法公正。</w:t>
      </w:r>
      <w:r>
        <w:rPr>
          <w:rFonts w:ascii="Times New Roman" w:hAnsi="Times New Roman" w:eastAsia="仿宋_GB2312"/>
          <w:b/>
          <w:bCs/>
          <w:color w:val="000000"/>
          <w:sz w:val="32"/>
          <w:szCs w:val="32"/>
        </w:rPr>
        <w:t>四是筑牢技术支撑，激活监督动能。</w:t>
      </w:r>
      <w:r>
        <w:rPr>
          <w:rFonts w:ascii="Times New Roman" w:hAnsi="Times New Roman" w:eastAsia="仿宋_GB2312"/>
          <w:color w:val="000000"/>
          <w:sz w:val="32"/>
          <w:szCs w:val="32"/>
        </w:rPr>
        <w:t>依托全国检察业务统计系统2.0与常检云数据中心，</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搭建案源结构比可视化平台，实时展示案件来源占比，辅助领导精准调整受案方向。同时，深化主动监督机制，2025年主动发现线索占比37.37%（较上半年增</w:t>
      </w:r>
      <w:r>
        <w:rPr>
          <w:rFonts w:hint="eastAsia" w:ascii="Times New Roman" w:hAnsi="Times New Roman" w:eastAsia="仿宋_GB2312"/>
          <w:color w:val="000000"/>
          <w:sz w:val="32"/>
          <w:szCs w:val="32"/>
        </w:rPr>
        <w:t>长</w:t>
      </w:r>
      <w:r>
        <w:rPr>
          <w:rFonts w:ascii="Times New Roman" w:hAnsi="Times New Roman" w:eastAsia="仿宋_GB2312"/>
          <w:color w:val="000000"/>
          <w:sz w:val="32"/>
          <w:szCs w:val="32"/>
        </w:rPr>
        <w:t>4.43%），刑事检察监督566件</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同比</w:t>
      </w:r>
      <w:r>
        <w:rPr>
          <w:rFonts w:hint="eastAsia" w:ascii="Times New Roman" w:hAnsi="Times New Roman" w:eastAsia="仿宋_GB2312"/>
          <w:color w:val="000000"/>
          <w:sz w:val="32"/>
          <w:szCs w:val="32"/>
        </w:rPr>
        <w:t>上</w:t>
      </w:r>
      <w:r>
        <w:rPr>
          <w:rFonts w:ascii="Times New Roman" w:hAnsi="Times New Roman" w:eastAsia="仿宋_GB2312"/>
          <w:color w:val="000000"/>
          <w:sz w:val="32"/>
          <w:szCs w:val="32"/>
        </w:rPr>
        <w:t>升30.41%；民事监督广度深度双拓展，审判违法监督案件97件</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同比</w:t>
      </w:r>
      <w:r>
        <w:rPr>
          <w:rFonts w:hint="eastAsia" w:ascii="Times New Roman" w:hAnsi="Times New Roman" w:eastAsia="仿宋_GB2312"/>
          <w:color w:val="000000"/>
          <w:sz w:val="32"/>
          <w:szCs w:val="32"/>
        </w:rPr>
        <w:t>上</w:t>
      </w:r>
      <w:r>
        <w:rPr>
          <w:rFonts w:ascii="Times New Roman" w:hAnsi="Times New Roman" w:eastAsia="仿宋_GB2312"/>
          <w:color w:val="000000"/>
          <w:sz w:val="32"/>
          <w:szCs w:val="32"/>
        </w:rPr>
        <w:t>升34.72%</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提出检察建议88件</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同比</w:t>
      </w:r>
      <w:r>
        <w:rPr>
          <w:rFonts w:hint="eastAsia" w:ascii="Times New Roman" w:hAnsi="Times New Roman" w:eastAsia="仿宋_GB2312"/>
          <w:color w:val="000000"/>
          <w:sz w:val="32"/>
          <w:szCs w:val="32"/>
        </w:rPr>
        <w:t>上</w:t>
      </w:r>
      <w:r>
        <w:rPr>
          <w:rFonts w:ascii="Times New Roman" w:hAnsi="Times New Roman" w:eastAsia="仿宋_GB2312"/>
          <w:color w:val="000000"/>
          <w:sz w:val="32"/>
          <w:szCs w:val="32"/>
        </w:rPr>
        <w:t>升144.44%。</w:t>
      </w:r>
    </w:p>
    <w:p w14:paraId="4759A975">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.关于“落实意识形态工作责任制有缺项”问题的整改。</w:t>
      </w:r>
    </w:p>
    <w:p w14:paraId="5638A2B0">
      <w:pPr>
        <w:spacing w:line="580" w:lineRule="exact"/>
        <w:rPr>
          <w:rFonts w:hint="eastAsia" w:ascii="仿宋_GB2312" w:hAnsi="仿宋_GB2312" w:eastAsia="仿宋_GB2312" w:cs="仿宋_GB2312"/>
          <w:color w:val="000000"/>
          <w:sz w:val="32"/>
          <w:szCs w:val="32"/>
        </w:rPr>
      </w:pPr>
      <w:r>
        <w:rPr>
          <w:rFonts w:hint="eastAsia" w:ascii="Times New Roman" w:hAnsi="Times New Roman" w:eastAsia="仿宋_GB2312"/>
          <w:b/>
          <w:color w:val="000000"/>
          <w:sz w:val="32"/>
          <w:szCs w:val="32"/>
        </w:rPr>
        <w:t xml:space="preserve">    </w:t>
      </w:r>
      <w:r>
        <w:rPr>
          <w:rFonts w:ascii="Times New Roman" w:hAnsi="Times New Roman" w:eastAsia="仿宋_GB2312"/>
          <w:b/>
          <w:color w:val="000000"/>
          <w:sz w:val="32"/>
          <w:szCs w:val="32"/>
        </w:rPr>
        <w:t>一是筑牢意识形态防线，强化责任落实。</w:t>
      </w:r>
      <w:r>
        <w:rPr>
          <w:rFonts w:ascii="Times New Roman" w:hAnsi="Times New Roman" w:eastAsia="仿宋_GB2312"/>
          <w:bCs/>
          <w:color w:val="000000"/>
          <w:sz w:val="32"/>
          <w:szCs w:val="32"/>
        </w:rPr>
        <w:t>严格落实意识形态工作责任制，制定年度党组意识形态工作任务清单，压实主体责任制；深化理论学习，筑牢信仰根基；密切关注舆情风险，</w:t>
      </w:r>
      <w:r>
        <w:rPr>
          <w:rFonts w:hint="eastAsia" w:ascii="Times New Roman" w:hAnsi="Times New Roman" w:eastAsia="仿宋_GB2312"/>
          <w:bCs/>
          <w:color w:val="000000"/>
          <w:sz w:val="32"/>
          <w:szCs w:val="32"/>
        </w:rPr>
        <w:t>严格</w:t>
      </w:r>
      <w:r>
        <w:rPr>
          <w:rFonts w:ascii="Times New Roman" w:hAnsi="Times New Roman" w:eastAsia="仿宋_GB2312"/>
          <w:bCs/>
          <w:color w:val="000000"/>
          <w:sz w:val="32"/>
          <w:szCs w:val="32"/>
        </w:rPr>
        <w:t>落实“三同步”原则和重大案事例进展报告制度</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严守宣传纪律，强化职业道德约束</w:t>
      </w:r>
      <w:r>
        <w:rPr>
          <w:rFonts w:hint="eastAsia" w:ascii="Times New Roman" w:hAnsi="Times New Roman" w:eastAsia="仿宋_GB2312"/>
          <w:bCs/>
          <w:color w:val="000000"/>
          <w:sz w:val="32"/>
          <w:szCs w:val="32"/>
        </w:rPr>
        <w:t>，</w:t>
      </w:r>
      <w:r>
        <w:rPr>
          <w:rFonts w:hint="eastAsia" w:ascii="仿宋_GB2312" w:hAnsi="仿宋_GB2312" w:eastAsia="仿宋_GB2312" w:cs="仿宋_GB2312"/>
          <w:color w:val="000000"/>
          <w:sz w:val="32"/>
          <w:szCs w:val="32"/>
        </w:rPr>
        <w:t>确保宣传内容真实、合法、公正</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加强政治理论教育和网络规范管理，守牢新媒体阵地</w:t>
      </w:r>
      <w:r>
        <w:rPr>
          <w:rFonts w:hint="eastAsia" w:ascii="Times New Roman" w:hAnsi="Times New Roman" w:eastAsia="仿宋_GB2312"/>
          <w:bCs/>
          <w:color w:val="000000"/>
          <w:sz w:val="32"/>
          <w:szCs w:val="32"/>
        </w:rPr>
        <w:t>；</w:t>
      </w:r>
      <w:r>
        <w:rPr>
          <w:rFonts w:hint="eastAsia" w:ascii="仿宋_GB2312" w:hAnsi="仿宋_GB2312" w:eastAsia="仿宋_GB2312" w:cs="仿宋_GB2312"/>
          <w:color w:val="000000"/>
          <w:sz w:val="32"/>
          <w:szCs w:val="32"/>
        </w:rPr>
        <w:t>严格执行新闻审校、接受媒体采访等规章制度，加强检察人员报备意识，遵守检察职业道德。意识形态领域总体态势向上向好，未发生重大负面涉检舆情。</w:t>
      </w:r>
      <w:r>
        <w:rPr>
          <w:rFonts w:ascii="Times New Roman" w:hAnsi="Times New Roman" w:eastAsia="仿宋_GB2312"/>
          <w:b/>
          <w:color w:val="000000"/>
          <w:sz w:val="32"/>
          <w:szCs w:val="32"/>
        </w:rPr>
        <w:t>二是提升宣传质效，深化法治影响力。</w:t>
      </w:r>
      <w:r>
        <w:rPr>
          <w:rFonts w:ascii="Times New Roman" w:hAnsi="Times New Roman" w:eastAsia="仿宋_GB2312"/>
          <w:bCs/>
          <w:color w:val="000000"/>
          <w:sz w:val="32"/>
          <w:szCs w:val="32"/>
        </w:rPr>
        <w:t>结合检察重点工作，全市两级院整体策划、上下联动，开设“巩固深化提升”检察长谈等</w:t>
      </w:r>
      <w:r>
        <w:rPr>
          <w:rFonts w:hint="eastAsia" w:ascii="Times New Roman" w:hAnsi="Times New Roman" w:eastAsia="仿宋_GB2312"/>
          <w:bCs/>
          <w:color w:val="000000"/>
          <w:sz w:val="32"/>
          <w:szCs w:val="32"/>
        </w:rPr>
        <w:t>主题</w:t>
      </w:r>
      <w:r>
        <w:rPr>
          <w:rFonts w:ascii="Times New Roman" w:hAnsi="Times New Roman" w:eastAsia="仿宋_GB2312"/>
          <w:bCs/>
          <w:color w:val="000000"/>
          <w:sz w:val="32"/>
          <w:szCs w:val="32"/>
        </w:rPr>
        <w:t>专栏，《检察日报》头版报道17篇，3项工作检察日报整版报道。创新传播载体，线上运用短视频、漫画、直播等形式，通过新华社、中央台等主流平台及常检在线账号传播，暑期直播课《成长秘籍》阅读超百万；线下</w:t>
      </w:r>
      <w:r>
        <w:rPr>
          <w:rFonts w:hint="eastAsia" w:ascii="Times New Roman" w:hAnsi="Times New Roman" w:eastAsia="仿宋_GB2312"/>
          <w:bCs/>
          <w:color w:val="000000"/>
          <w:sz w:val="32"/>
          <w:szCs w:val="32"/>
        </w:rPr>
        <w:t>举办检察</w:t>
      </w:r>
      <w:r>
        <w:rPr>
          <w:rFonts w:ascii="Times New Roman" w:hAnsi="Times New Roman" w:eastAsia="仿宋_GB2312"/>
          <w:bCs/>
          <w:color w:val="000000"/>
          <w:sz w:val="32"/>
          <w:szCs w:val="32"/>
        </w:rPr>
        <w:t>开放日125</w:t>
      </w:r>
      <w:r>
        <w:rPr>
          <w:rFonts w:hint="eastAsia" w:ascii="Times New Roman" w:hAnsi="Times New Roman" w:eastAsia="仿宋_GB2312"/>
          <w:bCs/>
          <w:color w:val="000000"/>
          <w:sz w:val="32"/>
          <w:szCs w:val="32"/>
        </w:rPr>
        <w:t>场</w:t>
      </w:r>
      <w:r>
        <w:rPr>
          <w:rFonts w:ascii="Times New Roman" w:hAnsi="Times New Roman" w:eastAsia="仿宋_GB2312"/>
          <w:bCs/>
          <w:color w:val="000000"/>
          <w:sz w:val="32"/>
          <w:szCs w:val="32"/>
        </w:rPr>
        <w:t>4210人次</w:t>
      </w:r>
      <w:r>
        <w:rPr>
          <w:rFonts w:hint="eastAsia" w:ascii="Times New Roman" w:hAnsi="Times New Roman" w:eastAsia="仿宋_GB2312"/>
          <w:bCs/>
          <w:color w:val="000000"/>
          <w:sz w:val="32"/>
          <w:szCs w:val="32"/>
        </w:rPr>
        <w:t>，近距离了解检察工作</w:t>
      </w:r>
      <w:r>
        <w:rPr>
          <w:rFonts w:ascii="Times New Roman" w:hAnsi="Times New Roman" w:eastAsia="仿宋_GB2312"/>
          <w:bCs/>
          <w:color w:val="000000"/>
          <w:sz w:val="32"/>
          <w:szCs w:val="32"/>
        </w:rPr>
        <w:t>，赴监狱、学校等地普法帮教，</w:t>
      </w:r>
      <w:r>
        <w:rPr>
          <w:rFonts w:hint="eastAsia" w:ascii="Times New Roman" w:hAnsi="Times New Roman" w:eastAsia="仿宋_GB2312"/>
          <w:bCs/>
          <w:color w:val="000000"/>
          <w:sz w:val="32"/>
          <w:szCs w:val="32"/>
        </w:rPr>
        <w:t>开展</w:t>
      </w:r>
      <w:r>
        <w:rPr>
          <w:rFonts w:ascii="Times New Roman" w:hAnsi="Times New Roman" w:eastAsia="仿宋_GB2312"/>
          <w:bCs/>
          <w:color w:val="000000"/>
          <w:sz w:val="32"/>
          <w:szCs w:val="32"/>
        </w:rPr>
        <w:t>办案故事讲述活动，增强公众法治体验。新媒体宣传破层出圈，市委巡察反馈以来，27项新媒体作品获评全国奖项、先后4次在最高检检察新闻宣传培训班授课并分享新闻宣传经验。</w:t>
      </w:r>
    </w:p>
    <w:p w14:paraId="2FCBBEBF">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4</w:t>
      </w:r>
      <w:r>
        <w:rPr>
          <w:rFonts w:ascii="Times New Roman" w:hAnsi="Times New Roman" w:eastAsia="仿宋_GB2312"/>
          <w:color w:val="000000"/>
          <w:sz w:val="32"/>
          <w:szCs w:val="32"/>
        </w:rPr>
        <w:t>.关于“面对新产业新业态新模式竞相涌现带来的新情况新问题研究不深，点对点一线调研不够，检察服务与企业需求未能精准对接、有效匹配”问题的整改。</w:t>
      </w:r>
    </w:p>
    <w:p w14:paraId="61AD2489">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一是优化营商环境，服务保障民营经济健康发展。</w:t>
      </w:r>
      <w:r>
        <w:rPr>
          <w:rFonts w:ascii="Times New Roman" w:hAnsi="Times New Roman" w:eastAsia="仿宋_GB2312"/>
          <w:sz w:val="32"/>
          <w:szCs w:val="32"/>
        </w:rPr>
        <w:t>针对案件反映出的企业监管治理问题，立足检察职能、因地制宜提出意见建议，强化跟踪问效。针对办理的1件走私普通货物案件，结合办案检察官实地走访调查发现公司在内部风险防控等方面存在的问题，向涉案企业制发检察建议书。该涉案企业高度重视，进一步查漏补缺，深入开展整改落实工作，及时予以回复</w:t>
      </w:r>
      <w:r>
        <w:rPr>
          <w:rFonts w:hint="eastAsia" w:ascii="Times New Roman" w:hAnsi="Times New Roman" w:eastAsia="仿宋_GB2312"/>
          <w:sz w:val="32"/>
          <w:szCs w:val="32"/>
        </w:rPr>
        <w:t>，表示感谢</w:t>
      </w:r>
      <w:r>
        <w:rPr>
          <w:rFonts w:ascii="Times New Roman" w:hAnsi="Times New Roman" w:eastAsia="仿宋_GB2312"/>
          <w:sz w:val="32"/>
          <w:szCs w:val="32"/>
        </w:rPr>
        <w:t>。</w:t>
      </w:r>
      <w:r>
        <w:rPr>
          <w:rFonts w:hint="eastAsia" w:ascii="Times New Roman" w:hAnsi="Times New Roman" w:eastAsia="仿宋_GB2312"/>
          <w:color w:val="000000"/>
          <w:sz w:val="32"/>
          <w:szCs w:val="32"/>
        </w:rPr>
        <w:t>市检察院经济犯罪检察</w:t>
      </w:r>
      <w:r>
        <w:rPr>
          <w:rFonts w:ascii="Times New Roman" w:hAnsi="Times New Roman" w:eastAsia="仿宋_GB2312"/>
          <w:color w:val="000000"/>
          <w:sz w:val="32"/>
          <w:szCs w:val="32"/>
        </w:rPr>
        <w:t>部获评常州市优化营商环境工作先进集体。</w:t>
      </w:r>
      <w:r>
        <w:rPr>
          <w:rFonts w:ascii="Times New Roman" w:hAnsi="Times New Roman" w:eastAsia="仿宋_GB2312"/>
          <w:b/>
          <w:bCs/>
          <w:color w:val="000000"/>
          <w:sz w:val="32"/>
          <w:szCs w:val="32"/>
        </w:rPr>
        <w:t>二是对民营企业内部腐败问题加强治理研究。</w:t>
      </w:r>
      <w:r>
        <w:rPr>
          <w:rFonts w:ascii="Times New Roman" w:hAnsi="Times New Roman" w:eastAsia="仿宋_GB2312"/>
          <w:color w:val="000000"/>
          <w:sz w:val="32"/>
          <w:szCs w:val="32"/>
        </w:rPr>
        <w:t>针对全市检察机关2022年以来办理的民营企业员工职务犯罪案件开展专题调研，分析此类犯罪的特点，梳理民营企业内部管理中存在的问题，提出民营企业内部贪腐治理的完善思路，《民营企业内部廉洁治理路径研究》获2025年度全市政法调研课题二等奖。</w:t>
      </w:r>
      <w:r>
        <w:rPr>
          <w:rFonts w:ascii="Times New Roman" w:hAnsi="Times New Roman" w:eastAsia="仿宋_GB2312"/>
          <w:b/>
          <w:bCs/>
          <w:color w:val="000000"/>
          <w:sz w:val="32"/>
          <w:szCs w:val="32"/>
        </w:rPr>
        <w:t>三是</w:t>
      </w:r>
      <w:r>
        <w:rPr>
          <w:rFonts w:hint="eastAsia" w:ascii="Times New Roman" w:hAnsi="Times New Roman" w:eastAsia="仿宋_GB2312"/>
          <w:b/>
          <w:bCs/>
          <w:color w:val="000000"/>
          <w:sz w:val="32"/>
          <w:szCs w:val="32"/>
        </w:rPr>
        <w:t>加强</w:t>
      </w:r>
      <w:r>
        <w:rPr>
          <w:rFonts w:ascii="Times New Roman" w:hAnsi="Times New Roman" w:eastAsia="仿宋_GB2312"/>
          <w:b/>
          <w:bCs/>
          <w:color w:val="000000"/>
          <w:sz w:val="32"/>
          <w:szCs w:val="32"/>
        </w:rPr>
        <w:t>走访企业，了解企业需求。</w:t>
      </w:r>
      <w:r>
        <w:rPr>
          <w:rFonts w:ascii="Times New Roman" w:hAnsi="Times New Roman" w:eastAsia="仿宋_GB2312"/>
          <w:color w:val="000000"/>
          <w:sz w:val="32"/>
          <w:szCs w:val="32"/>
        </w:rPr>
        <w:t>对涉案企业进行风险研判，制发检察建议。强化对涉企案件风险研判，针对企业安全生产问题、“厂中厂”管理问题等制发社会治理检察建议、落实协商函，推动相关部门开展专项治理，工作做法被省检察院专刊录用。</w:t>
      </w:r>
    </w:p>
    <w:p w14:paraId="33E5C773">
      <w:pPr>
        <w:overflowPunct w:val="0"/>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5</w:t>
      </w:r>
      <w:r>
        <w:rPr>
          <w:rFonts w:ascii="Times New Roman" w:hAnsi="Times New Roman" w:eastAsia="仿宋_GB2312"/>
          <w:bCs/>
          <w:color w:val="000000"/>
          <w:sz w:val="32"/>
          <w:szCs w:val="32"/>
        </w:rPr>
        <w:t>.关于“办理新类型案件的能力水平不足”问题的整改。</w:t>
      </w:r>
    </w:p>
    <w:p w14:paraId="0E9944D5">
      <w:pPr>
        <w:overflowPunct w:val="0"/>
        <w:adjustRightInd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一是强化证券金融办案效能，夯实专业基础。</w:t>
      </w:r>
      <w:r>
        <w:rPr>
          <w:rFonts w:ascii="Times New Roman" w:hAnsi="Times New Roman" w:eastAsia="仿宋_GB2312"/>
          <w:color w:val="000000"/>
          <w:sz w:val="32"/>
          <w:szCs w:val="32"/>
        </w:rPr>
        <w:t>针对办案效率问题，</w:t>
      </w:r>
      <w:r>
        <w:rPr>
          <w:rFonts w:ascii="Times New Roman" w:hAnsi="Times New Roman" w:eastAsia="仿宋_GB2312"/>
          <w:color w:val="000000"/>
          <w:sz w:val="32"/>
          <w:szCs w:val="32"/>
          <w:lang w:val="en"/>
        </w:rPr>
        <w:t>组建</w:t>
      </w:r>
      <w:r>
        <w:rPr>
          <w:rFonts w:ascii="Times New Roman" w:hAnsi="Times New Roman" w:eastAsia="仿宋_GB2312"/>
          <w:color w:val="000000"/>
          <w:sz w:val="32"/>
          <w:szCs w:val="32"/>
        </w:rPr>
        <w:t>证券</w:t>
      </w:r>
      <w:r>
        <w:rPr>
          <w:rFonts w:ascii="Times New Roman" w:hAnsi="Times New Roman" w:eastAsia="仿宋_GB2312"/>
          <w:color w:val="000000"/>
          <w:sz w:val="32"/>
          <w:szCs w:val="32"/>
          <w:lang w:val="en"/>
        </w:rPr>
        <w:t>专业化办案团队，实现</w:t>
      </w:r>
      <w:r>
        <w:rPr>
          <w:rFonts w:ascii="Times New Roman" w:hAnsi="Times New Roman" w:eastAsia="仿宋_GB2312"/>
          <w:color w:val="000000"/>
          <w:sz w:val="32"/>
          <w:szCs w:val="32"/>
        </w:rPr>
        <w:t>证券类案件提前介入全覆盖，提升办案质效</w:t>
      </w:r>
      <w:r>
        <w:rPr>
          <w:rFonts w:ascii="Times New Roman" w:hAnsi="Times New Roman" w:eastAsia="仿宋_GB2312"/>
          <w:color w:val="000000"/>
          <w:sz w:val="32"/>
          <w:szCs w:val="32"/>
          <w:lang w:val="en"/>
        </w:rPr>
        <w:t>。</w:t>
      </w:r>
      <w:r>
        <w:rPr>
          <w:rFonts w:ascii="Times New Roman" w:hAnsi="Times New Roman" w:eastAsia="仿宋_GB2312"/>
          <w:color w:val="000000"/>
          <w:sz w:val="32"/>
          <w:szCs w:val="32"/>
        </w:rPr>
        <w:t>严格贯彻落实省院《办理证券期货犯罪交办案件工作意见》，规范指定管辖和请示报告流程。加强与上级院沟通，选派干警</w:t>
      </w:r>
      <w:r>
        <w:rPr>
          <w:rFonts w:ascii="Times New Roman" w:hAnsi="Times New Roman" w:eastAsia="仿宋_GB2312"/>
          <w:color w:val="000000"/>
          <w:sz w:val="32"/>
          <w:szCs w:val="32"/>
          <w:lang w:val="en"/>
        </w:rPr>
        <w:t>至最高检经济犯罪检察厅锻炼。积极参与最高检、省检办理证券期货案件的规范性文件研讨起草，相关办案经验</w:t>
      </w:r>
      <w:r>
        <w:rPr>
          <w:rFonts w:hint="eastAsia" w:ascii="Times New Roman" w:hAnsi="Times New Roman" w:eastAsia="仿宋_GB2312"/>
          <w:color w:val="000000"/>
          <w:sz w:val="32"/>
          <w:szCs w:val="32"/>
          <w:lang w:val="en"/>
        </w:rPr>
        <w:t>在</w:t>
      </w:r>
      <w:r>
        <w:rPr>
          <w:rFonts w:ascii="Times New Roman" w:hAnsi="Times New Roman" w:eastAsia="仿宋_GB2312"/>
          <w:color w:val="000000"/>
          <w:sz w:val="32"/>
          <w:szCs w:val="32"/>
          <w:lang w:val="en"/>
        </w:rPr>
        <w:t>最高检调研</w:t>
      </w:r>
      <w:r>
        <w:rPr>
          <w:rFonts w:hint="eastAsia" w:ascii="Times New Roman" w:hAnsi="Times New Roman" w:eastAsia="仿宋_GB2312"/>
          <w:color w:val="000000"/>
          <w:sz w:val="32"/>
          <w:szCs w:val="32"/>
          <w:lang w:val="en"/>
        </w:rPr>
        <w:t>会上</w:t>
      </w:r>
      <w:r>
        <w:rPr>
          <w:rFonts w:ascii="Times New Roman" w:hAnsi="Times New Roman" w:eastAsia="仿宋_GB2312"/>
          <w:color w:val="000000"/>
          <w:sz w:val="32"/>
          <w:szCs w:val="32"/>
          <w:lang w:val="en"/>
        </w:rPr>
        <w:t>作经验交流</w:t>
      </w:r>
      <w:r>
        <w:rPr>
          <w:rFonts w:ascii="Times New Roman" w:hAnsi="Times New Roman" w:eastAsia="仿宋_GB2312"/>
          <w:color w:val="000000"/>
          <w:sz w:val="32"/>
          <w:szCs w:val="32"/>
        </w:rPr>
        <w:t>。</w:t>
      </w:r>
      <w:r>
        <w:rPr>
          <w:rFonts w:ascii="Times New Roman" w:hAnsi="Times New Roman" w:eastAsia="仿宋_GB2312"/>
          <w:b/>
          <w:bCs/>
          <w:color w:val="000000"/>
          <w:sz w:val="32"/>
          <w:szCs w:val="32"/>
        </w:rPr>
        <w:t>二是深化知识产权一体履职，提升办案质效。</w:t>
      </w:r>
      <w:r>
        <w:rPr>
          <w:rFonts w:ascii="Times New Roman" w:hAnsi="Times New Roman" w:eastAsia="仿宋_GB2312"/>
          <w:color w:val="000000"/>
          <w:sz w:val="32"/>
          <w:szCs w:val="32"/>
        </w:rPr>
        <w:t>完善侵犯商业秘密等知识产权案件办理机制，对重大疑难案件实行</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同步审查、提前介入、全程指导，确保办案精准性。建立专人对接制度，</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员额检察官对口指导基层院，强化案件统筹与质量把控。理论实践双突破，指导新北区院撰写的《论著作权技术保护措施间接规避行为纳入刑法规制的解释论》获全国知识产权检察征文三等奖，以理论研究反哺实务。</w:t>
      </w:r>
      <w:r>
        <w:rPr>
          <w:rFonts w:ascii="Times New Roman" w:hAnsi="Times New Roman" w:eastAsia="仿宋_GB2312"/>
          <w:b/>
          <w:bCs/>
          <w:color w:val="000000"/>
          <w:sz w:val="32"/>
          <w:szCs w:val="32"/>
        </w:rPr>
        <w:t>三是筑牢安全防线，创新公益诉讼协作机制。</w:t>
      </w:r>
      <w:r>
        <w:rPr>
          <w:rFonts w:ascii="Times New Roman" w:hAnsi="Times New Roman" w:eastAsia="仿宋_GB2312"/>
          <w:color w:val="000000"/>
          <w:sz w:val="32"/>
          <w:szCs w:val="32"/>
        </w:rPr>
        <w:t>聚焦安全生产与公益保护，建立拟不起诉案件和重大疑难案件捕前诉前汇报机制，规范办案程序；深化行刑衔接，通过专项行动监督立案2件、撤案1件，移送行政处罚线索7件，推动执法司法协同。依托“龙城益心”平台</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靶向开展公益诉讼</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立案办理食用农产品安全行政公益诉讼案，制发检察建议</w:t>
      </w:r>
      <w:r>
        <w:rPr>
          <w:rFonts w:hint="eastAsia" w:ascii="Times New Roman" w:hAnsi="Times New Roman" w:eastAsia="仿宋_GB2312"/>
          <w:color w:val="000000"/>
          <w:sz w:val="32"/>
          <w:szCs w:val="32"/>
        </w:rPr>
        <w:t>、开展磋商</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督促</w:t>
      </w:r>
      <w:r>
        <w:rPr>
          <w:rFonts w:ascii="Times New Roman" w:hAnsi="Times New Roman" w:eastAsia="仿宋_GB2312"/>
          <w:color w:val="000000"/>
          <w:sz w:val="32"/>
          <w:szCs w:val="32"/>
        </w:rPr>
        <w:t>多部门联合履职，推动市场检测体系升级、信息化平台建设及驻点工作站设立。</w:t>
      </w:r>
    </w:p>
    <w:p w14:paraId="34BCAE51">
      <w:pPr>
        <w:overflowPunct w:val="0"/>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6</w:t>
      </w:r>
      <w:r>
        <w:rPr>
          <w:rFonts w:ascii="Times New Roman" w:hAnsi="Times New Roman" w:eastAsia="仿宋_GB2312"/>
          <w:bCs/>
          <w:color w:val="000000"/>
          <w:sz w:val="32"/>
          <w:szCs w:val="32"/>
        </w:rPr>
        <w:t>.关于“协同维护社会稳定的责任仍需压实”问题的整改。</w:t>
      </w:r>
    </w:p>
    <w:p w14:paraId="3115993D">
      <w:pPr>
        <w:overflowPunct w:val="0"/>
        <w:adjustRightInd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一是强化风险防控，信访矛盾源头化解。</w:t>
      </w:r>
      <w:r>
        <w:rPr>
          <w:rFonts w:hint="eastAsia" w:ascii="Times New Roman" w:hAnsi="Times New Roman" w:eastAsia="仿宋_GB2312"/>
          <w:bCs/>
          <w:color w:val="000000"/>
          <w:sz w:val="32"/>
          <w:szCs w:val="32"/>
        </w:rPr>
        <w:t>案访结构</w:t>
      </w:r>
      <w:r>
        <w:rPr>
          <w:rFonts w:ascii="Times New Roman" w:hAnsi="Times New Roman" w:eastAsia="仿宋_GB2312"/>
          <w:bCs/>
          <w:color w:val="000000"/>
          <w:sz w:val="32"/>
          <w:szCs w:val="32"/>
        </w:rPr>
        <w:t>优化度</w:t>
      </w:r>
      <w:r>
        <w:rPr>
          <w:rFonts w:hint="eastAsia" w:ascii="Times New Roman" w:hAnsi="Times New Roman" w:eastAsia="仿宋_GB2312"/>
          <w:bCs/>
          <w:color w:val="000000"/>
          <w:sz w:val="32"/>
          <w:szCs w:val="32"/>
        </w:rPr>
        <w:t>持续提升，</w:t>
      </w:r>
      <w:r>
        <w:rPr>
          <w:rFonts w:ascii="Times New Roman" w:hAnsi="Times New Roman" w:eastAsia="仿宋_GB2312"/>
          <w:bCs/>
          <w:color w:val="000000"/>
          <w:sz w:val="32"/>
          <w:szCs w:val="32"/>
        </w:rPr>
        <w:t>2025年案访比居全省前列。深化综治中心协同，接收处置信访287件，通过调解、听证等方式化解矛盾31件，支持起诉41件。出台《信访工作部门联席会议规定》，凝聚全院信访工作合力，源头防范矛盾风险。</w:t>
      </w:r>
      <w:r>
        <w:rPr>
          <w:rFonts w:ascii="Times New Roman" w:hAnsi="Times New Roman" w:eastAsia="仿宋_GB2312"/>
          <w:b/>
          <w:color w:val="000000"/>
          <w:sz w:val="32"/>
          <w:szCs w:val="32"/>
        </w:rPr>
        <w:t>二是深化治理协作，检察建议提质增效。</w:t>
      </w:r>
      <w:r>
        <w:rPr>
          <w:rFonts w:ascii="Times New Roman" w:hAnsi="Times New Roman" w:eastAsia="仿宋_GB2312"/>
          <w:bCs/>
          <w:color w:val="000000"/>
          <w:sz w:val="32"/>
          <w:szCs w:val="32"/>
        </w:rPr>
        <w:t>社会治理检察建议一体贯通</w:t>
      </w:r>
      <w:r>
        <w:rPr>
          <w:rFonts w:hint="eastAsia" w:ascii="Times New Roman" w:hAnsi="Times New Roman" w:eastAsia="仿宋_GB2312"/>
          <w:bCs/>
          <w:color w:val="000000"/>
          <w:sz w:val="32"/>
          <w:szCs w:val="32"/>
        </w:rPr>
        <w:t>工作省内试点</w:t>
      </w:r>
      <w:r>
        <w:rPr>
          <w:rFonts w:ascii="Times New Roman" w:hAnsi="Times New Roman" w:eastAsia="仿宋_GB2312"/>
          <w:bCs/>
          <w:color w:val="000000"/>
          <w:sz w:val="32"/>
          <w:szCs w:val="32"/>
        </w:rPr>
        <w:t>，发出首份《检察建议落实协商函》获</w:t>
      </w:r>
      <w:r>
        <w:rPr>
          <w:rFonts w:hint="eastAsia" w:ascii="Times New Roman" w:hAnsi="Times New Roman" w:eastAsia="仿宋_GB2312"/>
          <w:bCs/>
          <w:color w:val="000000"/>
          <w:sz w:val="32"/>
          <w:szCs w:val="32"/>
        </w:rPr>
        <w:t>省检察院</w:t>
      </w:r>
      <w:r>
        <w:rPr>
          <w:rFonts w:ascii="Times New Roman" w:hAnsi="Times New Roman" w:eastAsia="仿宋_GB2312"/>
          <w:bCs/>
          <w:color w:val="000000"/>
          <w:sz w:val="32"/>
          <w:szCs w:val="32"/>
        </w:rPr>
        <w:t>经验专刊推广。紧扣案件反映的社会治理问题，制发建议32件，3份治理建议入选全省典型，数量居</w:t>
      </w:r>
      <w:r>
        <w:rPr>
          <w:rFonts w:hint="eastAsia" w:ascii="Times New Roman" w:hAnsi="Times New Roman" w:eastAsia="仿宋_GB2312"/>
          <w:bCs/>
          <w:color w:val="000000"/>
          <w:sz w:val="32"/>
          <w:szCs w:val="32"/>
        </w:rPr>
        <w:t>省内</w:t>
      </w:r>
      <w:r>
        <w:rPr>
          <w:rFonts w:ascii="Times New Roman" w:hAnsi="Times New Roman" w:eastAsia="仿宋_GB2312"/>
          <w:bCs/>
          <w:color w:val="000000"/>
          <w:sz w:val="32"/>
          <w:szCs w:val="32"/>
        </w:rPr>
        <w:t>第一。</w:t>
      </w:r>
      <w:r>
        <w:rPr>
          <w:rFonts w:ascii="Times New Roman" w:hAnsi="Times New Roman" w:eastAsia="仿宋_GB2312"/>
          <w:b/>
          <w:color w:val="000000"/>
          <w:sz w:val="32"/>
          <w:szCs w:val="32"/>
        </w:rPr>
        <w:t>三是创新管理平台，智慧赋能社会治理。</w:t>
      </w:r>
      <w:r>
        <w:rPr>
          <w:rFonts w:ascii="Times New Roman" w:hAnsi="Times New Roman" w:eastAsia="仿宋_GB2312"/>
          <w:bCs/>
          <w:color w:val="000000"/>
          <w:sz w:val="32"/>
          <w:szCs w:val="32"/>
        </w:rPr>
        <w:t>建成“常检治”大管理平台，率先实现社会治理检察建议“三个管理”全流程覆盖。</w:t>
      </w:r>
    </w:p>
    <w:p w14:paraId="5F4A0EBB">
      <w:pPr>
        <w:overflowPunct w:val="0"/>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7</w:t>
      </w:r>
      <w:r>
        <w:rPr>
          <w:rFonts w:ascii="Times New Roman" w:hAnsi="Times New Roman" w:eastAsia="仿宋_GB2312"/>
          <w:bCs/>
          <w:color w:val="000000"/>
          <w:sz w:val="32"/>
          <w:szCs w:val="32"/>
        </w:rPr>
        <w:t>.关于“高质效办案有不足”问题的整改。</w:t>
      </w:r>
    </w:p>
    <w:p w14:paraId="633E952F">
      <w:pPr>
        <w:overflowPunct w:val="0"/>
        <w:adjustRightInd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一是强化检察建议管理，推动社会治理效能。</w:t>
      </w:r>
      <w:r>
        <w:rPr>
          <w:rFonts w:ascii="Times New Roman" w:hAnsi="Times New Roman" w:eastAsia="仿宋_GB2312"/>
          <w:bCs/>
          <w:color w:val="000000"/>
          <w:sz w:val="32"/>
          <w:szCs w:val="32"/>
        </w:rPr>
        <w:t>制定《高质效办理社会治理检察建议工作指引》，构建调查制发、跟踪问效、评查检查闭环管理体系。9件</w:t>
      </w:r>
      <w:r>
        <w:rPr>
          <w:rFonts w:hint="eastAsia" w:ascii="Times New Roman" w:hAnsi="Times New Roman" w:eastAsia="仿宋_GB2312"/>
          <w:bCs/>
          <w:color w:val="000000"/>
          <w:sz w:val="32"/>
          <w:szCs w:val="32"/>
        </w:rPr>
        <w:t>社会治理检察建议</w:t>
      </w:r>
      <w:r>
        <w:rPr>
          <w:rFonts w:ascii="Times New Roman" w:hAnsi="Times New Roman" w:eastAsia="仿宋_GB2312"/>
          <w:bCs/>
          <w:color w:val="000000"/>
          <w:sz w:val="32"/>
          <w:szCs w:val="32"/>
        </w:rPr>
        <w:t>入选</w:t>
      </w:r>
      <w:r>
        <w:rPr>
          <w:rFonts w:hint="eastAsia" w:ascii="Times New Roman" w:hAnsi="Times New Roman" w:eastAsia="仿宋_GB2312"/>
          <w:bCs/>
          <w:color w:val="000000"/>
          <w:sz w:val="32"/>
          <w:szCs w:val="32"/>
        </w:rPr>
        <w:t>2025年度</w:t>
      </w:r>
      <w:r>
        <w:rPr>
          <w:rFonts w:ascii="Times New Roman" w:hAnsi="Times New Roman" w:eastAsia="仿宋_GB2312"/>
          <w:bCs/>
          <w:color w:val="000000"/>
          <w:sz w:val="32"/>
          <w:szCs w:val="32"/>
        </w:rPr>
        <w:t>全省《社会治理检察建议专刊》，数量居全省</w:t>
      </w:r>
      <w:r>
        <w:rPr>
          <w:rFonts w:hint="eastAsia" w:ascii="Times New Roman" w:hAnsi="Times New Roman" w:eastAsia="仿宋_GB2312"/>
          <w:bCs/>
          <w:color w:val="000000"/>
          <w:sz w:val="32"/>
          <w:szCs w:val="32"/>
        </w:rPr>
        <w:t>前列</w:t>
      </w:r>
      <w:r>
        <w:rPr>
          <w:rFonts w:ascii="Times New Roman" w:hAnsi="Times New Roman" w:eastAsia="仿宋_GB2312"/>
          <w:bCs/>
          <w:color w:val="000000"/>
          <w:sz w:val="32"/>
          <w:szCs w:val="32"/>
        </w:rPr>
        <w:t>，被建议单位回复采纳率100%。同步制定2026年重点选题计划，</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统筹基层院检察建议审核、备案，确保制发质量。全省首创“常检治”平台，实现全流程可视化监督，确保建议落地见效。</w:t>
      </w:r>
      <w:r>
        <w:rPr>
          <w:rFonts w:ascii="Times New Roman" w:hAnsi="Times New Roman" w:eastAsia="仿宋_GB2312"/>
          <w:b/>
          <w:color w:val="000000"/>
          <w:sz w:val="32"/>
          <w:szCs w:val="32"/>
        </w:rPr>
        <w:t>二是深化办案期限管理，提升司法效率。</w:t>
      </w:r>
      <w:r>
        <w:rPr>
          <w:rFonts w:ascii="Times New Roman" w:hAnsi="Times New Roman" w:eastAsia="仿宋_GB2312"/>
          <w:bCs/>
          <w:color w:val="000000"/>
          <w:sz w:val="32"/>
          <w:szCs w:val="32"/>
        </w:rPr>
        <w:t>实行日常管理与集中清理相结合，统筹推进“减存量、控增量”。开展长期未结案件专项监控，建立清单、分类施策、逐案跟踪。强化超期案件管控，取保候审案件六个半月审结率同比增长5.84%。搭建“一审公诉未结案件预警平台”及“三个管理”数据展示平台，通过常检通实时预警，实现全市、基层院数据动态对比监测。办案期限一体化管理成效显著：刑事案件平均用时同比缩短4.16天；刑、民、行案件审结率同比</w:t>
      </w:r>
      <w:r>
        <w:rPr>
          <w:rFonts w:hint="eastAsia" w:ascii="Times New Roman" w:hAnsi="Times New Roman" w:eastAsia="仿宋_GB2312"/>
          <w:bCs/>
          <w:color w:val="000000"/>
          <w:sz w:val="32"/>
          <w:szCs w:val="32"/>
        </w:rPr>
        <w:t>分别</w:t>
      </w:r>
      <w:r>
        <w:rPr>
          <w:rFonts w:ascii="Times New Roman" w:hAnsi="Times New Roman" w:eastAsia="仿宋_GB2312"/>
          <w:bCs/>
          <w:color w:val="000000"/>
          <w:sz w:val="32"/>
          <w:szCs w:val="32"/>
        </w:rPr>
        <w:t>增长5.8%</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12.47%</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6.66%。</w:t>
      </w:r>
      <w:r>
        <w:rPr>
          <w:rFonts w:ascii="Times New Roman" w:hAnsi="Times New Roman" w:eastAsia="仿宋_GB2312"/>
          <w:b/>
          <w:color w:val="000000"/>
          <w:sz w:val="32"/>
          <w:szCs w:val="32"/>
        </w:rPr>
        <w:t>三是完善评查机制，夯实案件质量根基。</w:t>
      </w:r>
      <w:r>
        <w:rPr>
          <w:rFonts w:ascii="Times New Roman" w:hAnsi="Times New Roman" w:eastAsia="仿宋_GB2312"/>
          <w:bCs/>
          <w:color w:val="000000"/>
          <w:sz w:val="32"/>
          <w:szCs w:val="32"/>
        </w:rPr>
        <w:t>构建常态化案件评查机制，强化程序与实体问题纠治，</w:t>
      </w:r>
      <w:r>
        <w:rPr>
          <w:rFonts w:hint="eastAsia" w:ascii="Times New Roman" w:hAnsi="Times New Roman" w:eastAsia="仿宋_GB2312"/>
          <w:bCs/>
          <w:color w:val="000000"/>
          <w:sz w:val="32"/>
          <w:szCs w:val="32"/>
        </w:rPr>
        <w:t>不规范的问题</w:t>
      </w:r>
      <w:r>
        <w:rPr>
          <w:rFonts w:ascii="Times New Roman" w:hAnsi="Times New Roman" w:eastAsia="仿宋_GB2312"/>
          <w:bCs/>
          <w:color w:val="000000"/>
          <w:sz w:val="32"/>
          <w:szCs w:val="32"/>
        </w:rPr>
        <w:t>数量较上年显著下降。依托侦查监督与协作配合机制，前端引导侦查，推动矛盾化解、证据完善，案件一次性审查通过率提升，补查退查率降低，实体与程序规范性明显增强。同步开展捕后不诉及轻缓刑案件专题分析通报，强化质量管控。</w:t>
      </w:r>
    </w:p>
    <w:p w14:paraId="3B630906">
      <w:pPr>
        <w:overflowPunct w:val="0"/>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8</w:t>
      </w:r>
      <w:r>
        <w:rPr>
          <w:rFonts w:ascii="Times New Roman" w:hAnsi="Times New Roman" w:eastAsia="仿宋_GB2312"/>
          <w:bCs/>
          <w:color w:val="000000"/>
          <w:sz w:val="32"/>
          <w:szCs w:val="32"/>
        </w:rPr>
        <w:t>.关于“一体抓实</w:t>
      </w:r>
      <w:r>
        <w:rPr>
          <w:rFonts w:ascii="Times New Roman" w:hAnsi="Times New Roman"/>
          <w:bCs/>
          <w:color w:val="000000"/>
          <w:sz w:val="32"/>
          <w:szCs w:val="32"/>
        </w:rPr>
        <w:t>‘</w:t>
      </w:r>
      <w:r>
        <w:rPr>
          <w:rFonts w:ascii="Times New Roman" w:hAnsi="Times New Roman" w:eastAsia="仿宋_GB2312"/>
          <w:bCs/>
          <w:color w:val="000000"/>
          <w:sz w:val="32"/>
          <w:szCs w:val="32"/>
        </w:rPr>
        <w:t>三个管理</w:t>
      </w:r>
      <w:r>
        <w:rPr>
          <w:rFonts w:ascii="Times New Roman" w:hAnsi="Times New Roman"/>
          <w:bCs/>
          <w:color w:val="000000"/>
          <w:sz w:val="32"/>
          <w:szCs w:val="32"/>
        </w:rPr>
        <w:t>’</w:t>
      </w:r>
      <w:r>
        <w:rPr>
          <w:rFonts w:ascii="Times New Roman" w:hAnsi="Times New Roman" w:eastAsia="仿宋_GB2312"/>
          <w:bCs/>
          <w:color w:val="000000"/>
          <w:sz w:val="32"/>
          <w:szCs w:val="32"/>
        </w:rPr>
        <w:t>不够有力”问题的整改。</w:t>
      </w:r>
    </w:p>
    <w:p w14:paraId="0A775F90">
      <w:pPr>
        <w:overflowPunct w:val="0"/>
        <w:adjustRightInd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一是推进数字赋能，强化智慧案管。</w:t>
      </w:r>
      <w:r>
        <w:rPr>
          <w:rFonts w:ascii="Times New Roman" w:hAnsi="Times New Roman" w:eastAsia="仿宋_GB2312"/>
          <w:bCs/>
          <w:color w:val="000000"/>
          <w:sz w:val="32"/>
          <w:szCs w:val="32"/>
        </w:rPr>
        <w:t>升级“数智案管”软件，优化“新检灵2.0”系统功能，设置数据核查、流程监控、文书质检等规则共计798条，实现办案流程智能管控、数据纠错、案例培育等一体化服务，推动办案质效全面提升。相关经验被《检察日报》头版报道，并作为</w:t>
      </w:r>
      <w:r>
        <w:rPr>
          <w:rFonts w:hint="eastAsia" w:ascii="Times New Roman" w:hAnsi="Times New Roman" w:eastAsia="仿宋_GB2312"/>
          <w:bCs/>
          <w:color w:val="000000"/>
          <w:sz w:val="32"/>
          <w:szCs w:val="32"/>
        </w:rPr>
        <w:t>省检察院</w:t>
      </w:r>
      <w:r>
        <w:rPr>
          <w:rFonts w:ascii="Times New Roman" w:hAnsi="Times New Roman" w:eastAsia="仿宋_GB2312"/>
          <w:bCs/>
          <w:color w:val="000000"/>
          <w:sz w:val="32"/>
          <w:szCs w:val="32"/>
        </w:rPr>
        <w:t>典型案例在最高检第十期案管研修班向全国推广。</w:t>
      </w:r>
      <w:r>
        <w:rPr>
          <w:rFonts w:ascii="Times New Roman" w:hAnsi="Times New Roman" w:eastAsia="仿宋_GB2312"/>
          <w:b/>
          <w:color w:val="000000"/>
          <w:sz w:val="32"/>
          <w:szCs w:val="32"/>
        </w:rPr>
        <w:t>二是筑牢质量防线，落实“每案必查”。</w:t>
      </w:r>
      <w:r>
        <w:rPr>
          <w:rFonts w:ascii="Times New Roman" w:hAnsi="Times New Roman" w:eastAsia="仿宋_GB2312"/>
          <w:bCs/>
          <w:color w:val="000000"/>
          <w:sz w:val="32"/>
          <w:szCs w:val="32"/>
        </w:rPr>
        <w:t>组建“四大检察”专业评查团队，制定《案件质量评查工作规则》，构建“年度计划+专项评查+日常检查”长效机制。开发8类评查模板嵌入系统，通过系统评查案件897件，并针对量刑建议、民事监督、起诉书质量等开展专项评查700余件，确保案件质量全程监管。</w:t>
      </w:r>
      <w:r>
        <w:rPr>
          <w:rFonts w:ascii="Times New Roman" w:hAnsi="Times New Roman" w:eastAsia="仿宋_GB2312"/>
          <w:b/>
          <w:color w:val="000000"/>
          <w:sz w:val="32"/>
          <w:szCs w:val="32"/>
        </w:rPr>
        <w:t>三是深化调研分析，赋能科学管理。</w:t>
      </w:r>
      <w:r>
        <w:rPr>
          <w:rFonts w:ascii="Times New Roman" w:hAnsi="Times New Roman" w:eastAsia="仿宋_GB2312"/>
          <w:bCs/>
          <w:color w:val="000000"/>
          <w:sz w:val="32"/>
          <w:szCs w:val="32"/>
        </w:rPr>
        <w:t>聚焦业务管理核心需求，依托“常检云”数据中心搭建监测模型，动态校验异常数据，联动业务部门研判整改。撰写的《2024全市检察业务态势分析报告》入选全省优秀</w:t>
      </w:r>
      <w:r>
        <w:rPr>
          <w:rFonts w:hint="eastAsia" w:ascii="Times New Roman" w:hAnsi="Times New Roman" w:eastAsia="仿宋_GB2312"/>
          <w:bCs/>
          <w:color w:val="000000"/>
          <w:sz w:val="32"/>
          <w:szCs w:val="32"/>
        </w:rPr>
        <w:t>分析报告</w:t>
      </w:r>
      <w:r>
        <w:rPr>
          <w:rFonts w:ascii="Times New Roman" w:hAnsi="Times New Roman" w:eastAsia="仿宋_GB2312"/>
          <w:bCs/>
          <w:color w:val="000000"/>
          <w:sz w:val="32"/>
          <w:szCs w:val="32"/>
        </w:rPr>
        <w:t>；联合撰写的《人工智能赋能检察管理现代化探索》获最高检数字案管专栏刊发。</w:t>
      </w:r>
    </w:p>
    <w:p w14:paraId="67D1A2CE">
      <w:pPr>
        <w:overflowPunct w:val="0"/>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9</w:t>
      </w:r>
      <w:r>
        <w:rPr>
          <w:rFonts w:ascii="Times New Roman" w:hAnsi="Times New Roman" w:eastAsia="仿宋_GB2312"/>
          <w:bCs/>
          <w:color w:val="000000"/>
          <w:sz w:val="32"/>
          <w:szCs w:val="32"/>
        </w:rPr>
        <w:t>.关于“刑事检察不优不强”问题的整改。</w:t>
      </w:r>
    </w:p>
    <w:p w14:paraId="0D001DDA">
      <w:pPr>
        <w:overflowPunct w:val="0"/>
        <w:adjustRightInd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一是强化刑事监督与协作治理，提升司法规范。</w:t>
      </w:r>
      <w:r>
        <w:rPr>
          <w:rFonts w:ascii="Times New Roman" w:hAnsi="Times New Roman" w:eastAsia="仿宋_GB2312"/>
          <w:bCs/>
          <w:color w:val="000000"/>
          <w:sz w:val="32"/>
          <w:szCs w:val="32"/>
        </w:rPr>
        <w:t>2025年，全市检察机关深化刑事诉讼监督，监督立案32件33人，监督撤案86件95人</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提出书面纠正违法81件次</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纠正漏捕12人、漏诉52人</w:t>
      </w:r>
      <w:r>
        <w:rPr>
          <w:rFonts w:hint="eastAsia" w:ascii="Times New Roman" w:hAnsi="Times New Roman" w:eastAsia="仿宋_GB2312"/>
          <w:bCs/>
          <w:color w:val="000000"/>
          <w:sz w:val="32"/>
          <w:szCs w:val="32"/>
        </w:rPr>
        <w:t>，有效提升司法规范</w:t>
      </w:r>
      <w:r>
        <w:rPr>
          <w:rFonts w:ascii="Times New Roman" w:hAnsi="Times New Roman" w:eastAsia="仿宋_GB2312"/>
          <w:bCs/>
          <w:color w:val="000000"/>
          <w:sz w:val="32"/>
          <w:szCs w:val="32"/>
        </w:rPr>
        <w:t>。</w:t>
      </w:r>
      <w:r>
        <w:rPr>
          <w:rFonts w:ascii="Times New Roman" w:hAnsi="Times New Roman" w:eastAsia="仿宋_GB2312"/>
          <w:b/>
          <w:color w:val="000000"/>
          <w:sz w:val="32"/>
          <w:szCs w:val="32"/>
        </w:rPr>
        <w:t>二是深化审判监督，夯实抗诉质效。</w:t>
      </w:r>
      <w:r>
        <w:rPr>
          <w:rFonts w:ascii="Times New Roman" w:hAnsi="Times New Roman" w:eastAsia="仿宋_GB2312"/>
          <w:bCs/>
          <w:color w:val="000000"/>
          <w:sz w:val="32"/>
          <w:szCs w:val="32"/>
        </w:rPr>
        <w:t>推动刑事审判监督专班实质化运行，刑检、未检部门联合研判抗诉线索，2025年刑事二审抗诉与审监抗诉比例由1:5.75优化至1:0.7</w:t>
      </w:r>
      <w:r>
        <w:rPr>
          <w:rFonts w:hint="eastAsia" w:ascii="Times New Roman" w:hAnsi="Times New Roman" w:eastAsia="仿宋_GB2312"/>
          <w:bCs/>
          <w:color w:val="000000"/>
          <w:sz w:val="32"/>
          <w:szCs w:val="32"/>
        </w:rPr>
        <w:t>9</w:t>
      </w:r>
      <w:r>
        <w:rPr>
          <w:rFonts w:ascii="Times New Roman" w:hAnsi="Times New Roman" w:eastAsia="仿宋_GB2312"/>
          <w:bCs/>
          <w:color w:val="000000"/>
          <w:sz w:val="32"/>
          <w:szCs w:val="32"/>
        </w:rPr>
        <w:t>。专班获评全国检察机关刑事抗诉优秀办案团队。</w:t>
      </w:r>
    </w:p>
    <w:p w14:paraId="2754719C">
      <w:pPr>
        <w:overflowPunct w:val="0"/>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10</w:t>
      </w:r>
      <w:r>
        <w:rPr>
          <w:rFonts w:ascii="Times New Roman" w:hAnsi="Times New Roman" w:eastAsia="仿宋_GB2312"/>
          <w:bCs/>
          <w:color w:val="000000"/>
          <w:sz w:val="32"/>
          <w:szCs w:val="32"/>
        </w:rPr>
        <w:t>.关于“民事检察不深不实”问题的整改。</w:t>
      </w:r>
    </w:p>
    <w:p w14:paraId="5060F7CE">
      <w:pPr>
        <w:overflowPunct w:val="0"/>
        <w:adjustRightInd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一是强化审违监督，深化一体履职。</w:t>
      </w:r>
      <w:r>
        <w:rPr>
          <w:rFonts w:ascii="Times New Roman" w:hAnsi="Times New Roman" w:eastAsia="仿宋_GB2312"/>
          <w:bCs/>
          <w:color w:val="000000"/>
          <w:sz w:val="32"/>
          <w:szCs w:val="32"/>
        </w:rPr>
        <w:t>聚焦立案、保全、终本执行等环节易发问题，组织全市民事检察部门开展监督专项，强化上下一体办案，将全市二审生效裁判案件交由基层院同步审查审判程序违法问题，并联合政法委常态化开展专项检查。全年发现审违线索97条，依法提出监督意见88件，同比上升144.4%；移送违法违纪犯罪线索9件，其中被公安机关立案5件，同比上升80%。坚持对事监督与对人监督相结合，强化与检察侦查部门的协作联动，对监督办案中发现的违纪违法犯罪线索，及时移送检察侦查部门，并配合做好线索核查、调查取证等工作。</w:t>
      </w:r>
      <w:r>
        <w:rPr>
          <w:rFonts w:ascii="Times New Roman" w:hAnsi="Times New Roman" w:eastAsia="仿宋_GB2312"/>
          <w:b/>
          <w:color w:val="000000"/>
          <w:sz w:val="32"/>
          <w:szCs w:val="32"/>
        </w:rPr>
        <w:t>二是严打虚假诉讼，构建协作机制。</w:t>
      </w:r>
      <w:r>
        <w:rPr>
          <w:rFonts w:ascii="Times New Roman" w:hAnsi="Times New Roman" w:eastAsia="仿宋_GB2312"/>
          <w:bCs/>
          <w:color w:val="000000"/>
          <w:sz w:val="32"/>
          <w:szCs w:val="32"/>
        </w:rPr>
        <w:t>聚焦民间借贷、离婚析产、破产清算等虚假诉讼高发领域，强化线索发现与调查核实工作，积极运用大数据平台和法律监督模型精准筛查虚假诉讼线索63条，加强与政法委、公安、法院、仲裁委、公证处等部门的沟通会商，凝聚共识，推动虚假诉讼发现、防范与审查、备案机制建设，增强对虚假诉讼犯罪行为的打击力度，2025年以来共办结虚假诉讼案件</w:t>
      </w:r>
      <w:r>
        <w:rPr>
          <w:rFonts w:hint="eastAsia" w:ascii="Times New Roman" w:hAnsi="Times New Roman" w:eastAsia="仿宋_GB2312"/>
          <w:bCs/>
          <w:color w:val="000000"/>
          <w:sz w:val="32"/>
          <w:szCs w:val="32"/>
        </w:rPr>
        <w:t>59</w:t>
      </w:r>
      <w:r>
        <w:rPr>
          <w:rFonts w:ascii="Times New Roman" w:hAnsi="Times New Roman" w:eastAsia="仿宋_GB2312"/>
          <w:bCs/>
          <w:color w:val="000000"/>
          <w:sz w:val="32"/>
          <w:szCs w:val="32"/>
        </w:rPr>
        <w:t>件，已监督</w:t>
      </w:r>
      <w:r>
        <w:rPr>
          <w:rFonts w:hint="eastAsia" w:ascii="Times New Roman" w:hAnsi="Times New Roman" w:eastAsia="仿宋_GB2312"/>
          <w:bCs/>
          <w:color w:val="000000"/>
          <w:sz w:val="32"/>
          <w:szCs w:val="32"/>
        </w:rPr>
        <w:t>56</w:t>
      </w:r>
      <w:r>
        <w:rPr>
          <w:rFonts w:ascii="Times New Roman" w:hAnsi="Times New Roman" w:eastAsia="仿宋_GB2312"/>
          <w:bCs/>
          <w:color w:val="000000"/>
          <w:sz w:val="32"/>
          <w:szCs w:val="32"/>
        </w:rPr>
        <w:t>件，其中移送虚假诉讼犯罪线索6件。</w:t>
      </w:r>
      <w:r>
        <w:rPr>
          <w:rFonts w:ascii="Times New Roman" w:hAnsi="Times New Roman" w:eastAsia="仿宋_GB2312"/>
          <w:b/>
          <w:color w:val="000000"/>
          <w:sz w:val="32"/>
          <w:szCs w:val="32"/>
        </w:rPr>
        <w:t>三是跟进再审建议，确保办理质效。</w:t>
      </w:r>
      <w:r>
        <w:rPr>
          <w:rFonts w:ascii="Times New Roman" w:hAnsi="Times New Roman" w:eastAsia="仿宋_GB2312"/>
          <w:bCs/>
          <w:color w:val="000000"/>
          <w:sz w:val="32"/>
          <w:szCs w:val="32"/>
        </w:rPr>
        <w:t>逐月跟进再审检察建议案件法院审理情况，督促法院尽快处理回函</w:t>
      </w:r>
      <w:r>
        <w:rPr>
          <w:rFonts w:hint="eastAsia" w:ascii="Times New Roman" w:hAnsi="Times New Roman" w:eastAsia="仿宋_GB2312"/>
          <w:bCs/>
          <w:color w:val="000000"/>
          <w:sz w:val="32"/>
          <w:szCs w:val="32"/>
        </w:rPr>
        <w:t>，确保办理质效</w:t>
      </w:r>
      <w:r>
        <w:rPr>
          <w:rFonts w:ascii="Times New Roman" w:hAnsi="Times New Roman" w:eastAsia="仿宋_GB2312"/>
          <w:bCs/>
          <w:color w:val="000000"/>
          <w:sz w:val="32"/>
          <w:szCs w:val="32"/>
        </w:rPr>
        <w:t>。</w:t>
      </w:r>
    </w:p>
    <w:p w14:paraId="798AA0CF">
      <w:pPr>
        <w:overflowPunct w:val="0"/>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.关于“行政检察胆气不足”问题的整改。</w:t>
      </w:r>
    </w:p>
    <w:p w14:paraId="57E7AF59">
      <w:pPr>
        <w:overflowPunct w:val="0"/>
        <w:adjustRightInd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一是深化行政监督，多渠道挖掘线索。</w:t>
      </w:r>
      <w:r>
        <w:rPr>
          <w:rFonts w:ascii="Times New Roman" w:hAnsi="Times New Roman" w:eastAsia="仿宋_GB2312"/>
          <w:bCs/>
          <w:color w:val="000000"/>
          <w:sz w:val="32"/>
          <w:szCs w:val="32"/>
        </w:rPr>
        <w:t>2025年全市共受理行政诉讼（含非诉）执行监督案件53件，均为依职权受理，向法院提出检察建议43件，向行政机关提出检察建议13件。组织学习行政诉讼监督要点及典型案例，通过</w:t>
      </w:r>
      <w:r>
        <w:rPr>
          <w:rFonts w:hint="eastAsia" w:ascii="Times New Roman" w:hAnsi="Times New Roman" w:eastAsia="仿宋_GB2312"/>
          <w:bCs/>
          <w:color w:val="000000"/>
          <w:sz w:val="32"/>
          <w:szCs w:val="32"/>
        </w:rPr>
        <w:t>省检察院</w:t>
      </w:r>
      <w:r>
        <w:rPr>
          <w:rFonts w:ascii="Times New Roman" w:hAnsi="Times New Roman" w:eastAsia="仿宋_GB2312"/>
          <w:bCs/>
          <w:color w:val="000000"/>
          <w:sz w:val="32"/>
          <w:szCs w:val="32"/>
        </w:rPr>
        <w:t>交叉评查借鉴先进经验，强化案卡规范化检查，</w:t>
      </w:r>
      <w:r>
        <w:rPr>
          <w:rFonts w:hint="eastAsia" w:ascii="Times New Roman" w:hAnsi="Times New Roman" w:eastAsia="仿宋_GB2312"/>
          <w:bCs/>
          <w:color w:val="000000"/>
          <w:sz w:val="32"/>
          <w:szCs w:val="32"/>
        </w:rPr>
        <w:t>有效压降</w:t>
      </w:r>
      <w:r>
        <w:rPr>
          <w:rFonts w:ascii="Times New Roman" w:hAnsi="Times New Roman" w:eastAsia="仿宋_GB2312"/>
          <w:bCs/>
          <w:color w:val="000000"/>
          <w:sz w:val="32"/>
          <w:szCs w:val="32"/>
        </w:rPr>
        <w:t>“其他”违法问题检察建议占比。全省评查中无问题案件，办案规范化水平显著</w:t>
      </w:r>
      <w:r>
        <w:rPr>
          <w:rFonts w:hint="eastAsia" w:ascii="Times New Roman" w:hAnsi="Times New Roman" w:eastAsia="仿宋_GB2312"/>
          <w:bCs/>
          <w:color w:val="000000"/>
          <w:sz w:val="32"/>
          <w:szCs w:val="32"/>
        </w:rPr>
        <w:t>提升</w:t>
      </w:r>
      <w:r>
        <w:rPr>
          <w:rFonts w:ascii="Times New Roman" w:hAnsi="Times New Roman" w:eastAsia="仿宋_GB2312"/>
          <w:bCs/>
          <w:color w:val="000000"/>
          <w:sz w:val="32"/>
          <w:szCs w:val="32"/>
        </w:rPr>
        <w:t>。</w:t>
      </w:r>
      <w:r>
        <w:rPr>
          <w:rFonts w:ascii="Times New Roman" w:hAnsi="Times New Roman" w:eastAsia="仿宋_GB2312"/>
          <w:b/>
          <w:color w:val="000000"/>
          <w:sz w:val="32"/>
          <w:szCs w:val="32"/>
        </w:rPr>
        <w:t>二是强化机制联动与专项治理。</w:t>
      </w:r>
      <w:r>
        <w:rPr>
          <w:rFonts w:ascii="Times New Roman" w:hAnsi="Times New Roman" w:eastAsia="仿宋_GB2312"/>
          <w:bCs/>
          <w:color w:val="000000"/>
          <w:sz w:val="32"/>
          <w:szCs w:val="32"/>
        </w:rPr>
        <w:t>加强与法院、行政机关沟通协作，建立专门台账实行“一案一跟踪”，定期核查检察建议采纳及整改情况，</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对超期未回复案件及时督办，确保回复率、采纳率均达100%。聚焦涉企信用惩戒、异地执法、社保领域等开展专项监督，重点纠治违规信用惩戒、违规终本、应执未执等问题。其中，涉企信用惩戒专项发出35件检察建议全部采纳，助力企业修复信用，</w:t>
      </w:r>
      <w:r>
        <w:rPr>
          <w:rFonts w:ascii="Times New Roman" w:hAnsi="Times New Roman" w:eastAsia="仿宋_GB2312"/>
          <w:color w:val="000000"/>
          <w:sz w:val="32"/>
          <w:szCs w:val="32"/>
        </w:rPr>
        <w:t>经验被最高检转发</w:t>
      </w:r>
      <w:r>
        <w:rPr>
          <w:rFonts w:ascii="Times New Roman" w:hAnsi="Times New Roman" w:eastAsia="仿宋_GB2312"/>
          <w:bCs/>
          <w:color w:val="000000"/>
          <w:sz w:val="32"/>
          <w:szCs w:val="32"/>
        </w:rPr>
        <w:t>。2025年法院采纳再审检察建议2件，实现突破；1件生效裁判监督案例入选全省十大行政检察案例，</w:t>
      </w:r>
      <w:r>
        <w:rPr>
          <w:rFonts w:hint="eastAsia" w:ascii="Times New Roman" w:hAnsi="Times New Roman" w:eastAsia="仿宋_GB2312"/>
          <w:bCs/>
          <w:color w:val="000000"/>
          <w:sz w:val="32"/>
          <w:szCs w:val="32"/>
        </w:rPr>
        <w:t>省检察院</w:t>
      </w:r>
      <w:r>
        <w:rPr>
          <w:rFonts w:ascii="Times New Roman" w:hAnsi="Times New Roman" w:eastAsia="仿宋_GB2312"/>
          <w:bCs/>
          <w:color w:val="000000"/>
          <w:sz w:val="32"/>
          <w:szCs w:val="32"/>
        </w:rPr>
        <w:t>新闻发布会</w:t>
      </w:r>
      <w:r>
        <w:rPr>
          <w:rFonts w:hint="eastAsia" w:ascii="Times New Roman" w:hAnsi="Times New Roman" w:eastAsia="仿宋_GB2312"/>
          <w:bCs/>
          <w:color w:val="000000"/>
          <w:sz w:val="32"/>
          <w:szCs w:val="32"/>
        </w:rPr>
        <w:t>公开</w:t>
      </w:r>
      <w:r>
        <w:rPr>
          <w:rFonts w:ascii="Times New Roman" w:hAnsi="Times New Roman" w:eastAsia="仿宋_GB2312"/>
          <w:bCs/>
          <w:color w:val="000000"/>
          <w:sz w:val="32"/>
          <w:szCs w:val="32"/>
        </w:rPr>
        <w:t xml:space="preserve">发布。    </w:t>
      </w:r>
    </w:p>
    <w:p w14:paraId="5073E83C">
      <w:pPr>
        <w:overflowPunct w:val="0"/>
        <w:adjustRightInd w:val="0"/>
        <w:snapToGrid w:val="0"/>
        <w:spacing w:line="58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w:t>
      </w:r>
      <w:r>
        <w:rPr>
          <w:rFonts w:hint="eastAsia" w:ascii="Times New Roman" w:hAnsi="Times New Roman" w:eastAsia="仿宋_GB2312"/>
          <w:bCs/>
          <w:color w:val="000000"/>
          <w:sz w:val="32"/>
          <w:szCs w:val="32"/>
          <w:highlight w:val="none"/>
        </w:rPr>
        <w:t>2</w:t>
      </w:r>
      <w:r>
        <w:rPr>
          <w:rFonts w:ascii="Times New Roman" w:hAnsi="Times New Roman" w:eastAsia="仿宋_GB2312"/>
          <w:bCs/>
          <w:color w:val="000000"/>
          <w:sz w:val="32"/>
          <w:szCs w:val="32"/>
          <w:highlight w:val="none"/>
        </w:rPr>
        <w:t>.</w:t>
      </w:r>
      <w:r>
        <w:rPr>
          <w:rFonts w:ascii="Times New Roman" w:hAnsi="Times New Roman" w:eastAsia="仿宋_GB2312"/>
          <w:bCs/>
          <w:color w:val="000000"/>
          <w:sz w:val="32"/>
          <w:szCs w:val="32"/>
          <w:highlight w:val="none"/>
        </w:rPr>
        <w:t>关于“检察韧劲不够</w:t>
      </w:r>
      <w:r>
        <w:rPr>
          <w:rFonts w:ascii="Times New Roman" w:hAnsi="Times New Roman" w:eastAsia="仿宋_GB2312"/>
          <w:bCs/>
          <w:color w:val="000000"/>
          <w:sz w:val="32"/>
          <w:szCs w:val="32"/>
          <w:highlight w:val="none"/>
        </w:rPr>
        <w:t>”问题</w:t>
      </w:r>
      <w:r>
        <w:rPr>
          <w:rFonts w:ascii="Times New Roman" w:hAnsi="Times New Roman" w:eastAsia="仿宋_GB2312"/>
          <w:bCs/>
          <w:color w:val="000000"/>
          <w:sz w:val="32"/>
          <w:szCs w:val="32"/>
        </w:rPr>
        <w:t>的整改。</w:t>
      </w:r>
    </w:p>
    <w:p w14:paraId="74CE6070">
      <w:pPr>
        <w:overflowPunct w:val="0"/>
        <w:adjustRightInd w:val="0"/>
        <w:snapToGrid w:val="0"/>
        <w:spacing w:line="580" w:lineRule="exact"/>
        <w:ind w:firstLine="64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一是聚焦重点领域，深化公益诉讼办案。</w:t>
      </w:r>
      <w:r>
        <w:rPr>
          <w:rFonts w:ascii="Times New Roman" w:hAnsi="Times New Roman" w:eastAsia="仿宋_GB2312"/>
          <w:bCs/>
          <w:color w:val="000000"/>
          <w:sz w:val="32"/>
          <w:szCs w:val="32"/>
        </w:rPr>
        <w:t>聚焦环境资源、食品药品、安全生产等重点领域，深化“三法衔接”机制，加强线索移送、技术协助、支持起诉，立案办理公益诉讼案件165件，提升公益保护获得感。聚焦“房前屋后”生态环境，加大生态环境领域办案力度，推动全市人居环境整治提升。聚焦食用农产品安全，办理食用农产品集中交易市场安全监管案件，守护人民群众“舌尖上的安全”。聚焦住宅小区、农村养老场所等人员密集场所安全，办理消防安全、电梯安全等案件，推动消除安全隐患。2025年，全市起诉民事公益诉讼11件，同比上升10%，法院已判决或调解支持4件，支持率100%。同时，聚焦环境资源、安全生产等领域，开展行政公益诉讼起诉案件研判，起诉2件，行政机关履职整改到位终结诉讼</w:t>
      </w:r>
      <w:r>
        <w:rPr>
          <w:rFonts w:hint="eastAsia" w:ascii="Times New Roman" w:hAnsi="Times New Roman" w:eastAsia="仿宋_GB2312"/>
          <w:bCs/>
          <w:color w:val="000000"/>
          <w:sz w:val="32"/>
          <w:szCs w:val="32"/>
        </w:rPr>
        <w:t>2</w:t>
      </w:r>
      <w:r>
        <w:rPr>
          <w:rFonts w:ascii="Times New Roman" w:hAnsi="Times New Roman" w:eastAsia="仿宋_GB2312"/>
          <w:bCs/>
          <w:color w:val="000000"/>
          <w:sz w:val="32"/>
          <w:szCs w:val="32"/>
        </w:rPr>
        <w:t>件。</w:t>
      </w:r>
      <w:r>
        <w:rPr>
          <w:rFonts w:ascii="Times New Roman" w:hAnsi="Times New Roman" w:eastAsia="仿宋_GB2312"/>
          <w:b/>
          <w:color w:val="000000"/>
          <w:sz w:val="32"/>
          <w:szCs w:val="32"/>
        </w:rPr>
        <w:t>二是强化机制联动，推动协同治理。</w:t>
      </w:r>
      <w:r>
        <w:rPr>
          <w:rFonts w:ascii="Times New Roman" w:hAnsi="Times New Roman" w:eastAsia="仿宋_GB2312"/>
          <w:bCs/>
          <w:color w:val="000000"/>
          <w:sz w:val="32"/>
          <w:szCs w:val="32"/>
        </w:rPr>
        <w:t>深化“三法衔接”机制，强化与法院、行政机关协作，通过线索移送、技术协作、支持起诉等方式，形成监督合力。加强行政公益诉讼监督，对重点领域问题精准研判、跟踪督促，确保案件办理质效。通过专项治理与日常监督相结合，推动问题解决与长效机制建设，切实维护社会公共利益。</w:t>
      </w:r>
    </w:p>
    <w:p w14:paraId="57FFEB8C">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13</w:t>
      </w:r>
      <w:r>
        <w:rPr>
          <w:rFonts w:ascii="Times New Roman" w:hAnsi="Times New Roman" w:eastAsia="仿宋_GB2312"/>
          <w:bCs/>
          <w:color w:val="000000"/>
          <w:sz w:val="32"/>
          <w:szCs w:val="32"/>
        </w:rPr>
        <w:t>.关于“未检综合履职成效不佳”问题的整改。</w:t>
      </w:r>
    </w:p>
    <w:p w14:paraId="30F33079">
      <w:pPr>
        <w:overflowPunct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一是强化未检履职与社会支持。</w:t>
      </w:r>
      <w:r>
        <w:rPr>
          <w:rFonts w:ascii="Times New Roman" w:hAnsi="Times New Roman" w:eastAsia="仿宋_GB2312"/>
          <w:bCs/>
          <w:color w:val="000000"/>
          <w:sz w:val="32"/>
          <w:szCs w:val="32"/>
        </w:rPr>
        <w:t>2025年依法起诉侵害未成年人犯罪</w:t>
      </w:r>
      <w:r>
        <w:rPr>
          <w:rFonts w:hint="eastAsia" w:ascii="Times New Roman" w:hAnsi="Times New Roman" w:eastAsia="仿宋_GB2312"/>
          <w:bCs/>
          <w:color w:val="000000"/>
          <w:sz w:val="32"/>
          <w:szCs w:val="32"/>
        </w:rPr>
        <w:t>和</w:t>
      </w:r>
      <w:r>
        <w:rPr>
          <w:rFonts w:ascii="Times New Roman" w:hAnsi="Times New Roman" w:eastAsia="仿宋_GB2312"/>
          <w:bCs/>
          <w:color w:val="000000"/>
          <w:sz w:val="32"/>
          <w:szCs w:val="32"/>
        </w:rPr>
        <w:t>受理审查起诉未成年人犯罪</w:t>
      </w:r>
      <w:r>
        <w:rPr>
          <w:rFonts w:hint="eastAsia" w:ascii="Times New Roman" w:hAnsi="Times New Roman" w:eastAsia="仿宋_GB2312"/>
          <w:bCs/>
          <w:color w:val="000000"/>
          <w:sz w:val="32"/>
          <w:szCs w:val="32"/>
        </w:rPr>
        <w:t>首次实现双下降</w:t>
      </w:r>
      <w:r>
        <w:rPr>
          <w:rFonts w:ascii="Times New Roman" w:hAnsi="Times New Roman" w:eastAsia="仿宋_GB2312"/>
          <w:bCs/>
          <w:color w:val="000000"/>
          <w:sz w:val="32"/>
          <w:szCs w:val="32"/>
        </w:rPr>
        <w:t>，涉未犯罪上升态势得到遏制。深化涉案未成年人社会观护工作，市院“常青藤”未成年人帮教工作站、武进区院“金球驿站”、新北区院“小橘灯”入选全省首批“苏小蓝”未检品牌建设成果选树宣传对象；联合市</w:t>
      </w:r>
      <w:r>
        <w:rPr>
          <w:rFonts w:hint="eastAsia" w:ascii="Times New Roman" w:hAnsi="Times New Roman" w:eastAsia="仿宋_GB2312"/>
          <w:bCs/>
          <w:color w:val="000000"/>
          <w:sz w:val="32"/>
          <w:szCs w:val="32"/>
        </w:rPr>
        <w:t>委社会工作</w:t>
      </w:r>
      <w:r>
        <w:rPr>
          <w:rFonts w:ascii="Times New Roman" w:hAnsi="Times New Roman" w:eastAsia="仿宋_GB2312"/>
          <w:bCs/>
          <w:color w:val="000000"/>
          <w:sz w:val="32"/>
          <w:szCs w:val="32"/>
        </w:rPr>
        <w:t>部举办“携手关爱 共护未来”开放日活动，引入12家社工组织建立长期合作，实现未成年人犯罪案件社工支持全覆盖；与常州市同心圆社会工作服务中心实施的“监护缺失特殊青少年关爱计划”入选省优秀项目。</w:t>
      </w:r>
      <w:r>
        <w:rPr>
          <w:rFonts w:ascii="Times New Roman" w:hAnsi="Times New Roman" w:eastAsia="仿宋_GB2312"/>
          <w:b/>
          <w:color w:val="000000"/>
          <w:sz w:val="32"/>
          <w:szCs w:val="32"/>
        </w:rPr>
        <w:t>二是深化司法保护与源头治理</w:t>
      </w:r>
      <w:r>
        <w:rPr>
          <w:rFonts w:ascii="Times New Roman" w:hAnsi="Times New Roman" w:eastAsia="仿宋_GB2312"/>
          <w:bCs/>
          <w:color w:val="000000"/>
          <w:sz w:val="32"/>
          <w:szCs w:val="32"/>
        </w:rPr>
        <w:t>。开展未成年人网络司法保护专项行动，严惩网络欺凌、隔空猥亵等犯罪，重点整治胁迫未成年人参与电诈、帮信等违法活动，2</w:t>
      </w:r>
      <w:r>
        <w:rPr>
          <w:rFonts w:hint="eastAsia" w:ascii="Times New Roman" w:hAnsi="Times New Roman" w:eastAsia="仿宋_GB2312"/>
          <w:bCs/>
          <w:color w:val="000000"/>
          <w:sz w:val="32"/>
          <w:szCs w:val="32"/>
        </w:rPr>
        <w:t>件</w:t>
      </w:r>
      <w:r>
        <w:rPr>
          <w:rFonts w:ascii="Times New Roman" w:hAnsi="Times New Roman" w:eastAsia="仿宋_GB2312"/>
          <w:bCs/>
          <w:color w:val="000000"/>
          <w:sz w:val="32"/>
          <w:szCs w:val="32"/>
        </w:rPr>
        <w:t>案件入选全省检察机关网络保护新闻发布会典型案例。创新法治宣传形式，向学校推介“菜单式”法治课程33讲，联合公安、市场监管等7部门会签《关于在药品零售企业建立侵害未成年人案件强制报告制度的意见（试行）》</w:t>
      </w:r>
      <w:r>
        <w:rPr>
          <w:rFonts w:hint="eastAsia" w:ascii="Times New Roman" w:hAnsi="Times New Roman" w:eastAsia="仿宋_GB2312"/>
          <w:bCs/>
          <w:color w:val="000000"/>
          <w:sz w:val="32"/>
          <w:szCs w:val="32"/>
        </w:rPr>
        <w:t>，将</w:t>
      </w:r>
      <w:r>
        <w:rPr>
          <w:rFonts w:ascii="Times New Roman" w:hAnsi="Times New Roman" w:eastAsia="仿宋_GB2312"/>
          <w:bCs/>
          <w:color w:val="000000"/>
          <w:sz w:val="32"/>
          <w:szCs w:val="32"/>
        </w:rPr>
        <w:t>全市药店纳入强制报告主体，相关经验被《中国青年报》《法治日报》</w:t>
      </w:r>
      <w:r>
        <w:rPr>
          <w:rFonts w:ascii="Times New Roman" w:hAnsi="Times New Roman" w:eastAsia="仿宋_GB2312"/>
          <w:color w:val="000000"/>
          <w:sz w:val="32"/>
          <w:szCs w:val="32"/>
        </w:rPr>
        <w:t>等媒体宣传报道。</w:t>
      </w:r>
      <w:r>
        <w:rPr>
          <w:rFonts w:ascii="Times New Roman" w:hAnsi="Times New Roman" w:eastAsia="仿宋_GB2312"/>
          <w:b/>
          <w:color w:val="000000"/>
          <w:sz w:val="32"/>
          <w:szCs w:val="32"/>
        </w:rPr>
        <w:t>三是打造专业化未检品牌。</w:t>
      </w:r>
      <w:r>
        <w:rPr>
          <w:rFonts w:ascii="Times New Roman" w:hAnsi="Times New Roman" w:eastAsia="仿宋_GB2312"/>
          <w:bCs/>
          <w:color w:val="000000"/>
          <w:sz w:val="32"/>
          <w:szCs w:val="32"/>
        </w:rPr>
        <w:t>落实性侵害未成年人案件“一站式”办案机制，通过“一站式”办案与专门团队建设，形成“应用尽用、专业高效”的未成年人司法保护模式，构建检察、公安、社工等多方联动的保护体系，以品牌化、专业化推动未检工作高质量发展。</w:t>
      </w:r>
    </w:p>
    <w:p w14:paraId="16C78028">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14</w:t>
      </w:r>
      <w:r>
        <w:rPr>
          <w:rFonts w:ascii="Times New Roman" w:hAnsi="Times New Roman" w:eastAsia="仿宋_GB2312"/>
          <w:color w:val="000000"/>
          <w:sz w:val="32"/>
          <w:szCs w:val="32"/>
        </w:rPr>
        <w:t>.关于“发挥领导职能有欠缺”问题的整改。</w:t>
      </w:r>
    </w:p>
    <w:p w14:paraId="3625588E">
      <w:pPr>
        <w:overflowPunct w:val="0"/>
        <w:adjustRightInd w:val="0"/>
        <w:snapToGrid w:val="0"/>
        <w:spacing w:line="580" w:lineRule="exact"/>
        <w:ind w:firstLine="64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一是强化目标引领与顶层设计。</w:t>
      </w:r>
      <w:r>
        <w:rPr>
          <w:rFonts w:ascii="Times New Roman" w:hAnsi="Times New Roman" w:eastAsia="仿宋_GB2312"/>
          <w:color w:val="000000"/>
          <w:sz w:val="32"/>
          <w:szCs w:val="32"/>
        </w:rPr>
        <w:t>紧扣</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“巩固、深化、提升”目标，将“四名”争创纳入年度重点任务，明确各基层院“一院一品”品牌名称和创建方向</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通过定期调度、专项督导确保目标落地。院领导常态化赴基层院调研，协调解决队伍建设、品牌打造等实际问题，形成上下联动的管理闭环。</w:t>
      </w:r>
      <w:r>
        <w:rPr>
          <w:rFonts w:ascii="Times New Roman" w:hAnsi="Times New Roman" w:eastAsia="仿宋_GB2312"/>
          <w:b/>
          <w:bCs/>
          <w:color w:val="000000"/>
          <w:sz w:val="32"/>
          <w:szCs w:val="32"/>
        </w:rPr>
        <w:t>二是夯实基层基础与品牌创建。</w:t>
      </w:r>
      <w:r>
        <w:rPr>
          <w:rFonts w:ascii="Times New Roman" w:hAnsi="Times New Roman" w:eastAsia="仿宋_GB2312"/>
          <w:color w:val="000000"/>
          <w:sz w:val="32"/>
          <w:szCs w:val="32"/>
        </w:rPr>
        <w:t>以“一院一品”为抓手，推动基层院差异化发展。武进院“吾检吾进”、天宁院“天检翼”等2个品牌入选全省基层院特色品牌，武进院、经开院和天目湖地区院获评全省先进基层院，3家基层院获评全国文明单位，基层建设质效全面提升。</w:t>
      </w:r>
      <w:r>
        <w:rPr>
          <w:rFonts w:ascii="Times New Roman" w:hAnsi="Times New Roman" w:eastAsia="仿宋_GB2312"/>
          <w:b/>
          <w:bCs/>
          <w:color w:val="000000"/>
          <w:sz w:val="32"/>
          <w:szCs w:val="32"/>
        </w:rPr>
        <w:t>三是深化联络监督与宣传引导。</w:t>
      </w:r>
      <w:r>
        <w:rPr>
          <w:rFonts w:ascii="Times New Roman" w:hAnsi="Times New Roman" w:eastAsia="仿宋_GB2312"/>
          <w:color w:val="000000"/>
          <w:sz w:val="32"/>
          <w:szCs w:val="32"/>
        </w:rPr>
        <w:t>主动接受外部监督，常态化邀请人大代表、政协委员参与检察开放日、案件评议等活动，增强司法透明度。开设“检察长谈”等专栏，主流媒体</w:t>
      </w:r>
      <w:r>
        <w:rPr>
          <w:rFonts w:hint="eastAsia" w:ascii="Times New Roman" w:hAnsi="Times New Roman" w:eastAsia="仿宋_GB2312"/>
          <w:color w:val="000000"/>
          <w:sz w:val="32"/>
          <w:szCs w:val="32"/>
        </w:rPr>
        <w:t>持续</w:t>
      </w:r>
      <w:r>
        <w:rPr>
          <w:rFonts w:ascii="Times New Roman" w:hAnsi="Times New Roman" w:eastAsia="仿宋_GB2312"/>
          <w:color w:val="000000"/>
          <w:sz w:val="32"/>
          <w:szCs w:val="32"/>
        </w:rPr>
        <w:t>发稿，</w:t>
      </w:r>
      <w:r>
        <w:rPr>
          <w:rFonts w:hint="eastAsia" w:ascii="Times New Roman" w:hAnsi="Times New Roman" w:eastAsia="仿宋_GB2312"/>
          <w:color w:val="000000"/>
          <w:sz w:val="32"/>
          <w:szCs w:val="32"/>
        </w:rPr>
        <w:t>常州</w:t>
      </w:r>
      <w:r>
        <w:rPr>
          <w:rFonts w:ascii="Times New Roman" w:hAnsi="Times New Roman" w:eastAsia="仿宋_GB2312"/>
          <w:color w:val="000000"/>
          <w:sz w:val="32"/>
          <w:szCs w:val="32"/>
        </w:rPr>
        <w:t>检察工作影响力</w:t>
      </w:r>
      <w:r>
        <w:rPr>
          <w:rFonts w:hint="eastAsia" w:ascii="Times New Roman" w:hAnsi="Times New Roman" w:eastAsia="仿宋_GB2312"/>
          <w:color w:val="000000"/>
          <w:sz w:val="32"/>
          <w:szCs w:val="32"/>
        </w:rPr>
        <w:t>明显上升</w:t>
      </w:r>
      <w:r>
        <w:rPr>
          <w:rFonts w:ascii="Times New Roman" w:hAnsi="Times New Roman" w:eastAsia="仿宋_GB2312"/>
          <w:color w:val="000000"/>
          <w:sz w:val="32"/>
          <w:szCs w:val="32"/>
        </w:rPr>
        <w:t>。强化经验总结与宣传推广，聚焦</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重点项目提炼常州经验，形成</w:t>
      </w:r>
      <w:r>
        <w:rPr>
          <w:rFonts w:hint="eastAsia" w:ascii="Times New Roman" w:hAnsi="Times New Roman" w:eastAsia="仿宋_GB2312"/>
          <w:color w:val="000000"/>
          <w:sz w:val="32"/>
          <w:szCs w:val="32"/>
        </w:rPr>
        <w:t>经验类</w:t>
      </w:r>
      <w:r>
        <w:rPr>
          <w:rFonts w:ascii="Times New Roman" w:hAnsi="Times New Roman" w:eastAsia="仿宋_GB2312"/>
          <w:color w:val="000000"/>
          <w:sz w:val="32"/>
          <w:szCs w:val="32"/>
        </w:rPr>
        <w:t>检察情况反映90</w:t>
      </w:r>
      <w:r>
        <w:rPr>
          <w:rFonts w:hint="eastAsia" w:ascii="Times New Roman" w:hAnsi="Times New Roman" w:eastAsia="仿宋_GB2312"/>
          <w:color w:val="000000"/>
          <w:sz w:val="32"/>
          <w:szCs w:val="32"/>
        </w:rPr>
        <w:t>余</w:t>
      </w:r>
      <w:r>
        <w:rPr>
          <w:rFonts w:ascii="Times New Roman" w:hAnsi="Times New Roman" w:eastAsia="仿宋_GB2312"/>
          <w:color w:val="000000"/>
          <w:sz w:val="32"/>
          <w:szCs w:val="32"/>
        </w:rPr>
        <w:t>篇，其中20篇获最高检、</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及市委办转发。</w:t>
      </w:r>
    </w:p>
    <w:p w14:paraId="3F481A03">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15</w:t>
      </w:r>
      <w:r>
        <w:rPr>
          <w:rFonts w:ascii="Times New Roman" w:hAnsi="Times New Roman" w:eastAsia="仿宋_GB2312"/>
          <w:bCs/>
          <w:color w:val="000000"/>
          <w:sz w:val="32"/>
          <w:szCs w:val="32"/>
        </w:rPr>
        <w:t>.关于“业务指导有欠缺”问题的整改。</w:t>
      </w:r>
    </w:p>
    <w:p w14:paraId="27264AF7">
      <w:pPr>
        <w:overflowPunct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一是深化业务指导，规范司法实践。</w:t>
      </w:r>
      <w:r>
        <w:rPr>
          <w:rFonts w:ascii="Times New Roman" w:hAnsi="Times New Roman" w:eastAsia="仿宋_GB2312"/>
          <w:bCs/>
          <w:color w:val="000000"/>
          <w:sz w:val="32"/>
          <w:szCs w:val="32"/>
        </w:rPr>
        <w:t>深化案件指导与规范建设，征集下发伤害类、审查逮捕主题参考案例，联合市公安局</w:t>
      </w:r>
      <w:r>
        <w:rPr>
          <w:rFonts w:hint="eastAsia" w:ascii="Times New Roman" w:hAnsi="Times New Roman" w:eastAsia="仿宋_GB2312"/>
          <w:bCs/>
          <w:color w:val="000000"/>
          <w:sz w:val="32"/>
          <w:szCs w:val="32"/>
        </w:rPr>
        <w:t>评选出全市十大侦查取证优质刑事案件</w:t>
      </w:r>
      <w:r>
        <w:rPr>
          <w:rFonts w:ascii="Times New Roman" w:hAnsi="Times New Roman" w:eastAsia="仿宋_GB2312"/>
          <w:bCs/>
          <w:color w:val="000000"/>
          <w:sz w:val="32"/>
          <w:szCs w:val="32"/>
        </w:rPr>
        <w:t>。编发疑难案件提示6期，针对故意轻伤害事实认定等难题，联合市公安局召开联席会议，出台危险驾驶、拒执犯罪办案纪要，统一司法尺度。落实基层院结对共建，8家基层院结对开展学习考察、人才互动</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组建案件质量评查团队，开展智能评查试点，专项核查2025年起诉书、量刑建议及捕后轻缓刑案件，制发《异常数据提醒函》《案管提示》12份</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通报</w:t>
      </w:r>
      <w:r>
        <w:rPr>
          <w:rFonts w:hint="eastAsia" w:ascii="Times New Roman" w:hAnsi="Times New Roman" w:eastAsia="仿宋_GB2312"/>
          <w:bCs/>
          <w:color w:val="000000"/>
          <w:sz w:val="32"/>
          <w:szCs w:val="32"/>
        </w:rPr>
        <w:t>评查发现问题</w:t>
      </w:r>
      <w:r>
        <w:rPr>
          <w:rFonts w:ascii="Times New Roman" w:hAnsi="Times New Roman" w:eastAsia="仿宋_GB2312"/>
          <w:bCs/>
          <w:color w:val="000000"/>
          <w:sz w:val="32"/>
          <w:szCs w:val="32"/>
        </w:rPr>
        <w:t>。</w:t>
      </w:r>
      <w:r>
        <w:rPr>
          <w:rFonts w:ascii="Times New Roman" w:hAnsi="Times New Roman" w:eastAsia="仿宋_GB2312"/>
          <w:b/>
          <w:color w:val="000000"/>
          <w:sz w:val="32"/>
          <w:szCs w:val="32"/>
        </w:rPr>
        <w:t>二是强化抗诉监督，突出典型案例。</w:t>
      </w:r>
      <w:r>
        <w:rPr>
          <w:rFonts w:ascii="Times New Roman" w:hAnsi="Times New Roman" w:eastAsia="仿宋_GB2312"/>
          <w:bCs/>
          <w:color w:val="000000"/>
          <w:sz w:val="32"/>
          <w:szCs w:val="32"/>
        </w:rPr>
        <w:t>以典型案例引领抗诉工作，</w:t>
      </w:r>
      <w:r>
        <w:rPr>
          <w:rFonts w:hint="eastAsia" w:ascii="Times New Roman" w:hAnsi="Times New Roman" w:eastAsia="仿宋_GB2312"/>
          <w:bCs/>
          <w:color w:val="000000"/>
          <w:sz w:val="32"/>
          <w:szCs w:val="32"/>
        </w:rPr>
        <w:t>一例</w:t>
      </w:r>
      <w:r>
        <w:rPr>
          <w:rFonts w:ascii="Times New Roman" w:hAnsi="Times New Roman" w:eastAsia="仿宋_GB2312"/>
          <w:bCs/>
          <w:color w:val="000000"/>
          <w:sz w:val="32"/>
          <w:szCs w:val="32"/>
        </w:rPr>
        <w:t>再审抗诉案入选</w:t>
      </w:r>
      <w:r>
        <w:rPr>
          <w:rFonts w:hint="eastAsia" w:ascii="Times New Roman" w:hAnsi="Times New Roman" w:eastAsia="仿宋_GB2312"/>
          <w:bCs/>
          <w:color w:val="000000"/>
          <w:sz w:val="32"/>
          <w:szCs w:val="32"/>
        </w:rPr>
        <w:t>省院专刊</w:t>
      </w:r>
      <w:r>
        <w:rPr>
          <w:rFonts w:ascii="Times New Roman" w:hAnsi="Times New Roman" w:eastAsia="仿宋_GB2312"/>
          <w:bCs/>
          <w:color w:val="000000"/>
          <w:sz w:val="32"/>
          <w:szCs w:val="32"/>
        </w:rPr>
        <w:t>典型案例。重点指导武进区院抗诉5件（二审</w:t>
      </w:r>
      <w:r>
        <w:rPr>
          <w:rFonts w:hint="eastAsia" w:ascii="Times New Roman" w:hAnsi="Times New Roman" w:eastAsia="仿宋_GB2312"/>
          <w:bCs/>
          <w:color w:val="000000"/>
          <w:sz w:val="32"/>
          <w:szCs w:val="32"/>
        </w:rPr>
        <w:t>抗诉</w:t>
      </w:r>
      <w:r>
        <w:rPr>
          <w:rFonts w:ascii="Times New Roman" w:hAnsi="Times New Roman" w:eastAsia="仿宋_GB2312"/>
          <w:bCs/>
          <w:color w:val="000000"/>
          <w:sz w:val="32"/>
          <w:szCs w:val="32"/>
        </w:rPr>
        <w:t>4件、再审</w:t>
      </w:r>
      <w:r>
        <w:rPr>
          <w:rFonts w:hint="eastAsia" w:ascii="Times New Roman" w:hAnsi="Times New Roman" w:eastAsia="仿宋_GB2312"/>
          <w:bCs/>
          <w:color w:val="000000"/>
          <w:sz w:val="32"/>
          <w:szCs w:val="32"/>
        </w:rPr>
        <w:t>抗诉</w:t>
      </w:r>
      <w:r>
        <w:rPr>
          <w:rFonts w:ascii="Times New Roman" w:hAnsi="Times New Roman" w:eastAsia="仿宋_GB2312"/>
          <w:bCs/>
          <w:color w:val="000000"/>
          <w:sz w:val="32"/>
          <w:szCs w:val="32"/>
        </w:rPr>
        <w:t>1件），</w:t>
      </w:r>
      <w:r>
        <w:rPr>
          <w:rFonts w:hint="eastAsia" w:ascii="Times New Roman" w:hAnsi="Times New Roman" w:eastAsia="仿宋_GB2312"/>
          <w:bCs/>
          <w:color w:val="000000"/>
          <w:sz w:val="32"/>
          <w:szCs w:val="32"/>
        </w:rPr>
        <w:t>其中一例再审抗诉</w:t>
      </w:r>
      <w:r>
        <w:rPr>
          <w:rFonts w:ascii="Times New Roman" w:hAnsi="Times New Roman" w:eastAsia="仿宋_GB2312"/>
          <w:bCs/>
          <w:color w:val="000000"/>
          <w:sz w:val="32"/>
          <w:szCs w:val="32"/>
        </w:rPr>
        <w:t>案获评优秀审查报告</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金坛区院审判阶段确定刑量刑建议占比同比下降10.48个百分点；天宁区院民事生效裁判监督改变率保持100%。</w:t>
      </w:r>
    </w:p>
    <w:p w14:paraId="06846B37">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16</w:t>
      </w:r>
      <w:r>
        <w:rPr>
          <w:rFonts w:ascii="Times New Roman" w:hAnsi="Times New Roman" w:eastAsia="仿宋_GB2312"/>
          <w:color w:val="000000"/>
          <w:sz w:val="32"/>
          <w:szCs w:val="32"/>
        </w:rPr>
        <w:t>.关于“推动争先创优有欠缺”问题的整改。</w:t>
      </w:r>
    </w:p>
    <w:p w14:paraId="0624D9C6">
      <w:pPr>
        <w:overflowPunct w:val="0"/>
        <w:adjustRightInd w:val="0"/>
        <w:snapToGrid w:val="0"/>
        <w:spacing w:line="580" w:lineRule="exact"/>
        <w:ind w:firstLine="64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一是深化“四名”争创与人才培育。</w:t>
      </w:r>
      <w:r>
        <w:rPr>
          <w:rFonts w:ascii="Times New Roman" w:hAnsi="Times New Roman" w:eastAsia="仿宋_GB2312"/>
          <w:color w:val="000000"/>
          <w:sz w:val="32"/>
          <w:szCs w:val="32"/>
        </w:rPr>
        <w:t>以“办名案、树名品、育名人、创名院”工作目标为牵引，2025年办理全国检察公益诉讼十大精品案、全省受贿金额最大职务犯罪案等标杆案件，53件案事例入选省级以上典型。实施“常检优才”计划，培育高端人才梯队，</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安伟同志获评“全国先进工作者”（全省检察系统唯一），3人获评全省“杰出检察官（检察干部）”，5人</w:t>
      </w:r>
      <w:r>
        <w:rPr>
          <w:rFonts w:hint="eastAsia" w:ascii="Times New Roman" w:hAnsi="Times New Roman" w:eastAsia="仿宋_GB2312"/>
          <w:color w:val="000000"/>
          <w:sz w:val="32"/>
          <w:szCs w:val="32"/>
        </w:rPr>
        <w:t>获评</w:t>
      </w:r>
      <w:r>
        <w:rPr>
          <w:rFonts w:ascii="Times New Roman" w:hAnsi="Times New Roman" w:eastAsia="仿宋_GB2312"/>
          <w:color w:val="000000"/>
          <w:sz w:val="32"/>
          <w:szCs w:val="32"/>
        </w:rPr>
        <w:t>业务标兵，119人次入选全国、全省检察人才库。</w:t>
      </w:r>
      <w:r>
        <w:rPr>
          <w:rFonts w:ascii="Times New Roman" w:hAnsi="Times New Roman" w:eastAsia="仿宋_GB2312"/>
          <w:b/>
          <w:bCs/>
          <w:color w:val="000000"/>
          <w:sz w:val="32"/>
          <w:szCs w:val="32"/>
        </w:rPr>
        <w:t>二是强化案例培育与品牌辐射。</w:t>
      </w:r>
      <w:r>
        <w:rPr>
          <w:rFonts w:ascii="Times New Roman" w:hAnsi="Times New Roman" w:eastAsia="仿宋_GB2312"/>
          <w:color w:val="000000"/>
          <w:sz w:val="32"/>
          <w:szCs w:val="32"/>
        </w:rPr>
        <w:t>构建“一案一总结、一案一推广”机制，8个案件获评最高检、</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典型案例，1</w:t>
      </w:r>
      <w:r>
        <w:rPr>
          <w:rFonts w:hint="eastAsia" w:ascii="Times New Roman" w:hAnsi="Times New Roman" w:eastAsia="仿宋_GB2312"/>
          <w:color w:val="000000"/>
          <w:sz w:val="32"/>
          <w:szCs w:val="32"/>
          <w:lang w:eastAsia="zh-CN"/>
        </w:rPr>
        <w:t>个</w:t>
      </w:r>
      <w:r>
        <w:rPr>
          <w:rFonts w:ascii="Times New Roman" w:hAnsi="Times New Roman" w:eastAsia="仿宋_GB2312"/>
          <w:color w:val="000000"/>
          <w:sz w:val="32"/>
          <w:szCs w:val="32"/>
        </w:rPr>
        <w:t>办案团队获评“全国刑事抗诉优秀团队”。充分发挥信息直报优势，编发“一院一品”信息13篇，10篇被上级院转发，形成“培育—总结—推广”良性循环。</w:t>
      </w:r>
      <w:r>
        <w:rPr>
          <w:rFonts w:ascii="Times New Roman" w:hAnsi="Times New Roman" w:eastAsia="仿宋_GB2312"/>
          <w:b/>
          <w:bCs/>
          <w:color w:val="000000"/>
          <w:sz w:val="32"/>
          <w:szCs w:val="32"/>
        </w:rPr>
        <w:t>三是巩固成果与扩大影响力。</w:t>
      </w:r>
      <w:r>
        <w:rPr>
          <w:rFonts w:ascii="Times New Roman" w:hAnsi="Times New Roman" w:eastAsia="仿宋_GB2312"/>
          <w:color w:val="000000"/>
          <w:sz w:val="32"/>
          <w:szCs w:val="32"/>
        </w:rPr>
        <w:t>深化争先创优成效，2025年</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三个管理”综合评估连续四季度位居全省前列。强化示范引领，3名检察官获评全省优秀办案个人，8人获评表现突出个人。通过品牌矩阵建设，打造“研学汇”理论品牌，推动武进院、天宁院等基层品牌形成集群效应，持续领跑全省检察工作创新。</w:t>
      </w:r>
    </w:p>
    <w:p w14:paraId="421C09D9">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17</w:t>
      </w:r>
      <w:r>
        <w:rPr>
          <w:rFonts w:ascii="Times New Roman" w:hAnsi="Times New Roman" w:eastAsia="仿宋_GB2312"/>
          <w:color w:val="000000"/>
          <w:sz w:val="32"/>
          <w:szCs w:val="32"/>
        </w:rPr>
        <w:t>.关于“队伍形象欠佳”问题的整改。</w:t>
      </w:r>
    </w:p>
    <w:p w14:paraId="6476E2FE">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一是强化担当作为。</w:t>
      </w:r>
      <w:r>
        <w:rPr>
          <w:rFonts w:ascii="Times New Roman" w:hAnsi="Times New Roman" w:eastAsia="仿宋_GB2312"/>
          <w:color w:val="000000"/>
          <w:sz w:val="32"/>
          <w:szCs w:val="32"/>
        </w:rPr>
        <w:t>印发《履职不担当负面清单》，引导检察人员常态化对照检视，规范履职行为。2025年完成</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中层干部选任调整及职级晋升18人，有效激发队伍活力，优化干部结构。健全人员管理体系</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修订完善检察官助理“积分制”管理办法，强化队伍科学管理。持续开展“季度之星”评选，充分发挥典型引领作用，营造争先创优氛围。开展“常检青年思想荟”青年理论学习、</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机关履职调研谈心谈话及廉洁家访活动，组织各支部开展“明方向、聚合力、勇担当”专题学习交流，统一思想认识，凝聚发展共识，激发干事创业内生动力。</w:t>
      </w:r>
      <w:r>
        <w:rPr>
          <w:rFonts w:ascii="Times New Roman" w:hAnsi="Times New Roman" w:eastAsia="仿宋_GB2312"/>
          <w:b/>
          <w:bCs/>
          <w:color w:val="000000"/>
          <w:sz w:val="32"/>
          <w:szCs w:val="32"/>
        </w:rPr>
        <w:t>二是提升信访质效。</w:t>
      </w:r>
      <w:r>
        <w:rPr>
          <w:rFonts w:ascii="Times New Roman" w:hAnsi="Times New Roman" w:eastAsia="仿宋_GB2312"/>
          <w:color w:val="000000"/>
          <w:sz w:val="32"/>
          <w:szCs w:val="32"/>
        </w:rPr>
        <w:t>对照上级督查问题逐项倒查，对相关责任人开展谈心谈话，强化检察为民理念，提升换位思考能力和群众工作水平。通过周五学习日、主题党日等活动深化思想教育，引导干警以“如我在访”情怀耐心倾听群众诉求，理性应对缠闹访。举办五期“控申小课堂”专题培训，聚焦信访接待技巧与方法，提升工作标准化、规范化水平。设置“AB岗”交替值班，缓解窗口人员压力，提振工作状态。</w:t>
      </w:r>
      <w:r>
        <w:rPr>
          <w:rFonts w:hint="eastAsia" w:ascii="Times New Roman" w:hAnsi="Times New Roman" w:eastAsia="仿宋_GB2312"/>
          <w:color w:val="000000"/>
          <w:sz w:val="32"/>
          <w:szCs w:val="32"/>
        </w:rPr>
        <w:t>重要时间节点，</w:t>
      </w:r>
      <w:r>
        <w:rPr>
          <w:rFonts w:ascii="Times New Roman" w:hAnsi="Times New Roman" w:eastAsia="仿宋_GB2312"/>
          <w:color w:val="000000"/>
          <w:sz w:val="32"/>
          <w:szCs w:val="32"/>
        </w:rPr>
        <w:t>对两级院12309检察服务中心作风开展专项督查，以严实作风保障服务效能。</w:t>
      </w:r>
    </w:p>
    <w:p w14:paraId="3592E1BC">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18</w:t>
      </w:r>
      <w:r>
        <w:rPr>
          <w:rFonts w:ascii="Times New Roman" w:hAnsi="Times New Roman" w:eastAsia="仿宋_GB2312"/>
          <w:bCs/>
          <w:color w:val="000000"/>
          <w:sz w:val="32"/>
          <w:szCs w:val="32"/>
        </w:rPr>
        <w:t>.关于“公务接待和补贴发放不合规”问题的整改。</w:t>
      </w:r>
    </w:p>
    <w:p w14:paraId="3BBF03B9">
      <w:pPr>
        <w:overflowPunct w:val="0"/>
        <w:adjustRightInd w:val="0"/>
        <w:snapToGrid w:val="0"/>
        <w:spacing w:line="580" w:lineRule="exact"/>
        <w:ind w:firstLine="64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一是严控接待标准。</w:t>
      </w:r>
      <w:r>
        <w:rPr>
          <w:rFonts w:ascii="Times New Roman" w:hAnsi="Times New Roman" w:eastAsia="仿宋_GB2312"/>
          <w:bCs/>
          <w:color w:val="000000"/>
          <w:sz w:val="32"/>
          <w:szCs w:val="32"/>
        </w:rPr>
        <w:t>印发《关于明确公务接待报销相关事项的通知》，明确“无公函不接待”原则，同步上传《市检察院公务接待清单》，严格执行国内公务接待清单制度，堵塞管理漏洞。</w:t>
      </w:r>
      <w:r>
        <w:rPr>
          <w:rFonts w:ascii="Times New Roman" w:hAnsi="Times New Roman" w:eastAsia="仿宋_GB2312"/>
          <w:b/>
          <w:color w:val="000000"/>
          <w:sz w:val="32"/>
          <w:szCs w:val="32"/>
        </w:rPr>
        <w:t>二是规范经费管理。</w:t>
      </w:r>
      <w:r>
        <w:rPr>
          <w:rFonts w:ascii="Times New Roman" w:hAnsi="Times New Roman" w:eastAsia="仿宋_GB2312"/>
          <w:bCs/>
          <w:color w:val="000000"/>
          <w:sz w:val="32"/>
          <w:szCs w:val="32"/>
        </w:rPr>
        <w:t>明确</w:t>
      </w:r>
      <w:r>
        <w:rPr>
          <w:rFonts w:hint="eastAsia" w:ascii="Times New Roman" w:hAnsi="Times New Roman" w:eastAsia="仿宋_GB2312"/>
          <w:bCs/>
          <w:color w:val="000000"/>
          <w:sz w:val="32"/>
          <w:szCs w:val="32"/>
        </w:rPr>
        <w:t>组织人事科</w:t>
      </w:r>
      <w:r>
        <w:rPr>
          <w:rFonts w:ascii="Times New Roman" w:hAnsi="Times New Roman" w:eastAsia="仿宋_GB2312"/>
          <w:bCs/>
          <w:color w:val="000000"/>
          <w:sz w:val="32"/>
          <w:szCs w:val="32"/>
        </w:rPr>
        <w:t>负责人员经费待遇标准审核及支出事项经办审核，</w:t>
      </w:r>
      <w:r>
        <w:rPr>
          <w:rFonts w:hint="eastAsia" w:ascii="Times New Roman" w:hAnsi="Times New Roman" w:eastAsia="仿宋_GB2312"/>
          <w:bCs/>
          <w:color w:val="000000"/>
          <w:sz w:val="32"/>
          <w:szCs w:val="32"/>
        </w:rPr>
        <w:t>计划财务装备科</w:t>
      </w:r>
      <w:r>
        <w:rPr>
          <w:rFonts w:ascii="Times New Roman" w:hAnsi="Times New Roman" w:eastAsia="仿宋_GB2312"/>
          <w:bCs/>
          <w:color w:val="000000"/>
          <w:sz w:val="32"/>
          <w:szCs w:val="32"/>
        </w:rPr>
        <w:t>统筹预算编制、追加及经费发放；同步加强报销制度学习，</w:t>
      </w:r>
      <w:r>
        <w:rPr>
          <w:rFonts w:hint="eastAsia" w:ascii="Times New Roman" w:hAnsi="Times New Roman" w:eastAsia="仿宋_GB2312"/>
          <w:bCs/>
          <w:color w:val="000000"/>
          <w:sz w:val="32"/>
          <w:szCs w:val="32"/>
        </w:rPr>
        <w:t>筑牢经费管理防线</w:t>
      </w:r>
      <w:r>
        <w:rPr>
          <w:rFonts w:ascii="Times New Roman" w:hAnsi="Times New Roman" w:eastAsia="仿宋_GB2312"/>
          <w:bCs/>
          <w:color w:val="000000"/>
          <w:sz w:val="32"/>
          <w:szCs w:val="32"/>
        </w:rPr>
        <w:t>。</w:t>
      </w:r>
    </w:p>
    <w:p w14:paraId="7FD9A5BA">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19</w:t>
      </w:r>
      <w:r>
        <w:rPr>
          <w:rFonts w:ascii="Times New Roman" w:hAnsi="Times New Roman" w:eastAsia="仿宋_GB2312"/>
          <w:bCs/>
          <w:color w:val="000000"/>
          <w:sz w:val="32"/>
          <w:szCs w:val="32"/>
        </w:rPr>
        <w:t>.关于“厉行节约不严格”问题的整改。</w:t>
      </w:r>
    </w:p>
    <w:p w14:paraId="190E51CB">
      <w:pPr>
        <w:overflowPunct w:val="0"/>
        <w:adjustRightInd w:val="0"/>
        <w:snapToGrid w:val="0"/>
        <w:spacing w:line="580" w:lineRule="exact"/>
        <w:ind w:firstLine="64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一是强化节能降碳。</w:t>
      </w:r>
      <w:r>
        <w:rPr>
          <w:rFonts w:ascii="Times New Roman" w:hAnsi="Times New Roman" w:eastAsia="仿宋_GB2312"/>
          <w:bCs/>
          <w:color w:val="000000"/>
          <w:sz w:val="32"/>
          <w:szCs w:val="32"/>
        </w:rPr>
        <w:t>组织《党政机关厉行节约反对浪费条例》专题学习，对院本级及守正园开展水电气能耗分析，定期公示办公耗材使用和公车油耗数据；组织干警参与公共机构碳普惠活动，印发通知</w:t>
      </w:r>
      <w:r>
        <w:rPr>
          <w:rFonts w:hint="eastAsia" w:ascii="Times New Roman" w:hAnsi="Times New Roman" w:eastAsia="仿宋_GB2312"/>
          <w:bCs/>
          <w:color w:val="000000"/>
          <w:sz w:val="32"/>
          <w:szCs w:val="32"/>
        </w:rPr>
        <w:t>开展2025年度</w:t>
      </w:r>
      <w:r>
        <w:rPr>
          <w:rFonts w:ascii="Times New Roman" w:hAnsi="Times New Roman" w:eastAsia="仿宋_GB2312"/>
          <w:bCs/>
          <w:color w:val="000000"/>
          <w:sz w:val="32"/>
          <w:szCs w:val="32"/>
        </w:rPr>
        <w:t>全国节能宣传周及低碳日宣传。院党组落实过紧日子要求，要求各部门严控支出、厉行节约。</w:t>
      </w:r>
      <w:r>
        <w:rPr>
          <w:rFonts w:ascii="Times New Roman" w:hAnsi="Times New Roman" w:eastAsia="仿宋_GB2312"/>
          <w:b/>
          <w:color w:val="000000"/>
          <w:sz w:val="32"/>
          <w:szCs w:val="32"/>
        </w:rPr>
        <w:t>二是宣传提质增效。</w:t>
      </w:r>
      <w:r>
        <w:rPr>
          <w:rFonts w:ascii="Times New Roman" w:hAnsi="Times New Roman" w:eastAsia="仿宋_GB2312"/>
          <w:bCs/>
          <w:color w:val="000000"/>
          <w:sz w:val="32"/>
          <w:szCs w:val="32"/>
        </w:rPr>
        <w:t>充分运用“三微一端”平台多形式宣传常州检察工作，策划开设“巩固 深化 提升”检察长谈、“学习贯彻党的二十届四中全会精神”检察长谈、检说综治行等宣传专栏；报刊征订按党的建设、检察业务、对外宣传板块统筹归口责任部门，源头压减需求。</w:t>
      </w:r>
      <w:r>
        <w:rPr>
          <w:rFonts w:ascii="Times New Roman" w:hAnsi="Times New Roman" w:eastAsia="仿宋_GB2312"/>
          <w:b/>
          <w:color w:val="000000"/>
          <w:sz w:val="32"/>
          <w:szCs w:val="32"/>
        </w:rPr>
        <w:t>三是盘活内部资源。</w:t>
      </w:r>
      <w:r>
        <w:rPr>
          <w:rFonts w:ascii="Times New Roman" w:hAnsi="Times New Roman" w:eastAsia="仿宋_GB2312"/>
          <w:bCs/>
          <w:color w:val="000000"/>
          <w:sz w:val="32"/>
          <w:szCs w:val="32"/>
        </w:rPr>
        <w:t>2025年4月以来，开展线上业务培训16次、908人次参训；利用</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及守正园场地举办民事、公益诉讼、未检业务竞赛等练兵6场114人；利用普法中心道德讲堂、部门会议室定期开设业务小课堂</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检察普法中心展厅内容以新媒体形式更新，节约成本</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组织代表委员、干警家属、未成年人等实地参观普法中心、办案场所及12309服务中心。</w:t>
      </w:r>
      <w:r>
        <w:rPr>
          <w:rFonts w:ascii="Times New Roman" w:hAnsi="Times New Roman" w:eastAsia="仿宋_GB2312"/>
          <w:b/>
          <w:color w:val="000000"/>
          <w:sz w:val="32"/>
          <w:szCs w:val="32"/>
        </w:rPr>
        <w:t>四是规范数字检察管理。</w:t>
      </w:r>
      <w:r>
        <w:rPr>
          <w:rFonts w:ascii="Times New Roman" w:hAnsi="Times New Roman" w:eastAsia="仿宋_GB2312"/>
          <w:bCs/>
          <w:color w:val="000000"/>
          <w:sz w:val="32"/>
          <w:szCs w:val="32"/>
        </w:rPr>
        <w:t>制发《数字检察应用项目备案通知》，要求基层院开发项目须向</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备案，以统筹资源整合、避免重复建设，并保障数据安全与系统兼容。</w:t>
      </w:r>
      <w:r>
        <w:rPr>
          <w:rFonts w:ascii="Times New Roman" w:hAnsi="Times New Roman" w:eastAsia="仿宋_GB2312"/>
          <w:b/>
          <w:color w:val="000000"/>
          <w:sz w:val="32"/>
          <w:szCs w:val="32"/>
        </w:rPr>
        <w:t>五是严格差旅费报销。</w:t>
      </w:r>
      <w:r>
        <w:rPr>
          <w:rFonts w:ascii="Times New Roman" w:hAnsi="Times New Roman" w:eastAsia="仿宋_GB2312"/>
          <w:bCs/>
          <w:color w:val="000000"/>
          <w:sz w:val="32"/>
          <w:szCs w:val="32"/>
        </w:rPr>
        <w:t>深化对口援助政策学习，科学统筹援助交流安排，严格落实报备审批，持续提升对口援助工作质效。从严规范国内差旅审批与经费审核，组织部门内勤开展差旅费政策</w:t>
      </w:r>
      <w:r>
        <w:rPr>
          <w:rFonts w:hint="eastAsia" w:ascii="Times New Roman" w:hAnsi="Times New Roman" w:eastAsia="仿宋_GB2312"/>
          <w:bCs/>
          <w:color w:val="000000"/>
          <w:sz w:val="32"/>
          <w:szCs w:val="32"/>
        </w:rPr>
        <w:t>培训，</w:t>
      </w:r>
      <w:r>
        <w:rPr>
          <w:rFonts w:ascii="Times New Roman" w:hAnsi="Times New Roman" w:eastAsia="仿宋_GB2312"/>
          <w:bCs/>
          <w:color w:val="000000"/>
          <w:sz w:val="32"/>
          <w:szCs w:val="32"/>
        </w:rPr>
        <w:t>因公退票费</w:t>
      </w:r>
      <w:r>
        <w:rPr>
          <w:rFonts w:hint="eastAsia" w:ascii="Times New Roman" w:hAnsi="Times New Roman" w:eastAsia="仿宋_GB2312"/>
          <w:bCs/>
          <w:color w:val="000000"/>
          <w:sz w:val="32"/>
          <w:szCs w:val="32"/>
        </w:rPr>
        <w:t>严格</w:t>
      </w:r>
      <w:r>
        <w:rPr>
          <w:rFonts w:ascii="Times New Roman" w:hAnsi="Times New Roman" w:eastAsia="仿宋_GB2312"/>
          <w:bCs/>
          <w:color w:val="000000"/>
          <w:sz w:val="32"/>
          <w:szCs w:val="32"/>
        </w:rPr>
        <w:t>落实经办人说明、部门负责人签字</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分管领导审批流程。</w:t>
      </w:r>
      <w:r>
        <w:rPr>
          <w:rFonts w:ascii="Times New Roman" w:hAnsi="Times New Roman" w:eastAsia="仿宋_GB2312"/>
          <w:b/>
          <w:color w:val="000000"/>
          <w:sz w:val="32"/>
          <w:szCs w:val="32"/>
        </w:rPr>
        <w:t>六是严控公务车辆内饰装潢标准及经费支出。</w:t>
      </w:r>
      <w:r>
        <w:rPr>
          <w:rFonts w:ascii="Times New Roman" w:hAnsi="Times New Roman" w:eastAsia="仿宋_GB2312"/>
          <w:bCs/>
          <w:color w:val="000000"/>
          <w:sz w:val="32"/>
          <w:szCs w:val="32"/>
        </w:rPr>
        <w:t>组织学习市级公务用车管理文件，</w:t>
      </w:r>
      <w:r>
        <w:rPr>
          <w:rFonts w:hint="eastAsia" w:ascii="Times New Roman" w:hAnsi="Times New Roman" w:eastAsia="仿宋_GB2312"/>
          <w:bCs/>
          <w:color w:val="000000"/>
          <w:sz w:val="32"/>
          <w:szCs w:val="32"/>
        </w:rPr>
        <w:t>严格落实</w:t>
      </w:r>
      <w:r>
        <w:rPr>
          <w:rFonts w:ascii="Times New Roman" w:hAnsi="Times New Roman" w:eastAsia="仿宋_GB2312"/>
          <w:bCs/>
          <w:color w:val="000000"/>
          <w:sz w:val="32"/>
          <w:szCs w:val="32"/>
        </w:rPr>
        <w:t>市机关事务管理局新车内饰装潢相关标准，公务出行优先使用公车保障，从严把控社会车辆租赁审批。规范加班值班、竞赛集训经费管控；细化物资采购规范，合理保障事项履行部门申报、分管领导审批流程，由司法办案中心（守正园）或</w:t>
      </w:r>
      <w:r>
        <w:rPr>
          <w:rFonts w:hint="eastAsia" w:ascii="Times New Roman" w:hAnsi="Times New Roman" w:eastAsia="仿宋_GB2312"/>
          <w:bCs/>
          <w:color w:val="000000"/>
          <w:sz w:val="32"/>
          <w:szCs w:val="32"/>
        </w:rPr>
        <w:t>计财科</w:t>
      </w:r>
      <w:r>
        <w:rPr>
          <w:rFonts w:ascii="Times New Roman" w:hAnsi="Times New Roman" w:eastAsia="仿宋_GB2312"/>
          <w:bCs/>
          <w:color w:val="000000"/>
          <w:sz w:val="32"/>
          <w:szCs w:val="32"/>
        </w:rPr>
        <w:t>统一集采、财务据实报销。</w:t>
      </w:r>
    </w:p>
    <w:p w14:paraId="40B2C212">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20</w:t>
      </w:r>
      <w:r>
        <w:rPr>
          <w:rFonts w:ascii="Times New Roman" w:hAnsi="Times New Roman" w:eastAsia="仿宋_GB2312"/>
          <w:bCs/>
          <w:color w:val="000000"/>
          <w:sz w:val="32"/>
          <w:szCs w:val="32"/>
        </w:rPr>
        <w:t>.关于“检护民生需加力”问题的整改。</w:t>
      </w:r>
    </w:p>
    <w:p w14:paraId="50608A0E">
      <w:pPr>
        <w:overflowPunct w:val="0"/>
        <w:adjustRightInd w:val="0"/>
        <w:snapToGrid w:val="0"/>
        <w:spacing w:line="580" w:lineRule="exact"/>
        <w:ind w:firstLine="64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一是强化民生监督。</w:t>
      </w:r>
      <w:r>
        <w:rPr>
          <w:rFonts w:ascii="Times New Roman" w:hAnsi="Times New Roman" w:eastAsia="仿宋_GB2312"/>
          <w:bCs/>
          <w:color w:val="000000"/>
          <w:sz w:val="32"/>
          <w:szCs w:val="32"/>
        </w:rPr>
        <w:t>紧扣民生诉求，深化诉讼监督</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落实最高检、省院“检护民生”专项部署，加强对老年人、残疾人、妇女等群体的司法保护。指导基层院深化部门协作、拓宽线索渠道，完善“支持起诉+”多元解纷机制。全年办理支持起诉案件469件（同比</w:t>
      </w:r>
      <w:r>
        <w:rPr>
          <w:rFonts w:hint="eastAsia" w:ascii="Times New Roman" w:hAnsi="Times New Roman" w:eastAsia="仿宋_GB2312"/>
          <w:bCs/>
          <w:color w:val="000000"/>
          <w:sz w:val="32"/>
          <w:szCs w:val="32"/>
        </w:rPr>
        <w:t>上升</w:t>
      </w:r>
      <w:r>
        <w:rPr>
          <w:rFonts w:ascii="Times New Roman" w:hAnsi="Times New Roman" w:eastAsia="仿宋_GB2312"/>
          <w:bCs/>
          <w:color w:val="000000"/>
          <w:sz w:val="32"/>
          <w:szCs w:val="32"/>
        </w:rPr>
        <w:t>57.38%），跨部门移送线索303件，支持起诉201件201人，会签协作文件1件，联合座谈12次。</w:t>
      </w:r>
      <w:r>
        <w:rPr>
          <w:rFonts w:ascii="Times New Roman" w:hAnsi="Times New Roman" w:eastAsia="仿宋_GB2312"/>
          <w:b/>
          <w:color w:val="000000"/>
          <w:sz w:val="32"/>
          <w:szCs w:val="32"/>
        </w:rPr>
        <w:t>二是深化监督参与。</w:t>
      </w:r>
      <w:r>
        <w:rPr>
          <w:rFonts w:ascii="Times New Roman" w:hAnsi="Times New Roman" w:eastAsia="仿宋_GB2312"/>
          <w:bCs/>
          <w:color w:val="000000"/>
          <w:sz w:val="32"/>
          <w:szCs w:val="32"/>
        </w:rPr>
        <w:t>邀请人民监督员监督办案586件次，开展专项核查并通报</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聚焦“一老一小”及新就业群体，针对性普法200余场，覆盖5000余人次，创新AI数字人技术应用，巩固线下普法，提升覆盖面与实效。</w:t>
      </w:r>
      <w:r>
        <w:rPr>
          <w:rFonts w:ascii="Times New Roman" w:hAnsi="Times New Roman" w:eastAsia="仿宋_GB2312"/>
          <w:b/>
          <w:color w:val="000000"/>
          <w:sz w:val="32"/>
          <w:szCs w:val="32"/>
        </w:rPr>
        <w:t>三是提升救助质效。</w:t>
      </w:r>
      <w:r>
        <w:rPr>
          <w:rFonts w:ascii="Times New Roman" w:hAnsi="Times New Roman" w:eastAsia="仿宋_GB2312"/>
          <w:bCs/>
          <w:color w:val="000000"/>
          <w:sz w:val="32"/>
          <w:szCs w:val="32"/>
        </w:rPr>
        <w:t>2025年</w:t>
      </w:r>
      <w:r>
        <w:rPr>
          <w:rFonts w:hint="eastAsia" w:ascii="Times New Roman" w:hAnsi="Times New Roman" w:eastAsia="仿宋_GB2312"/>
          <w:bCs/>
          <w:color w:val="000000"/>
          <w:sz w:val="32"/>
          <w:szCs w:val="32"/>
        </w:rPr>
        <w:t>以来共开展</w:t>
      </w:r>
      <w:r>
        <w:rPr>
          <w:rFonts w:ascii="Times New Roman" w:hAnsi="Times New Roman" w:eastAsia="仿宋_GB2312"/>
          <w:bCs/>
          <w:color w:val="000000"/>
          <w:sz w:val="32"/>
          <w:szCs w:val="32"/>
        </w:rPr>
        <w:t>司法救助108件124人，</w:t>
      </w:r>
      <w:r>
        <w:rPr>
          <w:rFonts w:hint="eastAsia" w:ascii="Times New Roman" w:hAnsi="Times New Roman" w:eastAsia="仿宋_GB2312"/>
          <w:bCs/>
          <w:color w:val="000000"/>
          <w:sz w:val="32"/>
          <w:szCs w:val="32"/>
        </w:rPr>
        <w:t>其中联合</w:t>
      </w:r>
      <w:r>
        <w:rPr>
          <w:rFonts w:ascii="Times New Roman" w:hAnsi="Times New Roman" w:eastAsia="仿宋_GB2312"/>
          <w:bCs/>
          <w:color w:val="000000"/>
          <w:sz w:val="32"/>
          <w:szCs w:val="32"/>
        </w:rPr>
        <w:t>慈善基金救助</w:t>
      </w:r>
      <w:r>
        <w:rPr>
          <w:rFonts w:hint="eastAsia" w:ascii="Times New Roman" w:hAnsi="Times New Roman" w:eastAsia="仿宋_GB2312"/>
          <w:bCs/>
          <w:color w:val="000000"/>
          <w:sz w:val="32"/>
          <w:szCs w:val="32"/>
        </w:rPr>
        <w:t>3</w:t>
      </w:r>
      <w:r>
        <w:rPr>
          <w:rFonts w:ascii="Times New Roman" w:hAnsi="Times New Roman" w:eastAsia="仿宋_GB2312"/>
          <w:bCs/>
          <w:color w:val="000000"/>
          <w:sz w:val="32"/>
          <w:szCs w:val="32"/>
        </w:rPr>
        <w:t>件</w:t>
      </w:r>
      <w:r>
        <w:rPr>
          <w:rFonts w:hint="eastAsia" w:ascii="Times New Roman" w:hAnsi="Times New Roman" w:eastAsia="仿宋_GB2312"/>
          <w:bCs/>
          <w:color w:val="000000"/>
          <w:sz w:val="32"/>
          <w:szCs w:val="32"/>
        </w:rPr>
        <w:t>5</w:t>
      </w:r>
      <w:r>
        <w:rPr>
          <w:rFonts w:ascii="Times New Roman" w:hAnsi="Times New Roman" w:eastAsia="仿宋_GB2312"/>
          <w:bCs/>
          <w:color w:val="000000"/>
          <w:sz w:val="32"/>
          <w:szCs w:val="32"/>
        </w:rPr>
        <w:t>人。建立“司法救助+社会救助”双向联动机制，联动救助9件11人。编发5件优秀案例供基层参考，</w:t>
      </w:r>
      <w:r>
        <w:rPr>
          <w:rFonts w:hint="eastAsia" w:ascii="Times New Roman" w:hAnsi="Times New Roman" w:eastAsia="仿宋_GB2312"/>
          <w:bCs/>
          <w:color w:val="000000"/>
          <w:sz w:val="32"/>
          <w:szCs w:val="32"/>
        </w:rPr>
        <w:t>1</w:t>
      </w:r>
      <w:r>
        <w:rPr>
          <w:rFonts w:ascii="Times New Roman" w:hAnsi="Times New Roman" w:eastAsia="仿宋_GB2312"/>
          <w:bCs/>
          <w:color w:val="000000"/>
          <w:sz w:val="32"/>
          <w:szCs w:val="32"/>
        </w:rPr>
        <w:t>件入选省院</w:t>
      </w:r>
      <w:r>
        <w:rPr>
          <w:rFonts w:hint="eastAsia" w:ascii="Times New Roman" w:hAnsi="Times New Roman" w:eastAsia="仿宋_GB2312"/>
          <w:bCs/>
          <w:color w:val="000000"/>
          <w:sz w:val="32"/>
          <w:szCs w:val="32"/>
        </w:rPr>
        <w:t>优秀案例</w:t>
      </w:r>
      <w:r>
        <w:rPr>
          <w:rFonts w:ascii="Times New Roman" w:hAnsi="Times New Roman" w:eastAsia="仿宋_GB2312"/>
          <w:bCs/>
          <w:color w:val="000000"/>
          <w:sz w:val="32"/>
          <w:szCs w:val="32"/>
        </w:rPr>
        <w:t>。</w:t>
      </w:r>
      <w:r>
        <w:rPr>
          <w:rFonts w:ascii="Times New Roman" w:hAnsi="Times New Roman" w:eastAsia="仿宋_GB2312"/>
          <w:b/>
          <w:color w:val="000000"/>
          <w:sz w:val="32"/>
          <w:szCs w:val="32"/>
        </w:rPr>
        <w:t>四是规范办案流程。</w:t>
      </w:r>
      <w:r>
        <w:rPr>
          <w:rFonts w:ascii="Times New Roman" w:hAnsi="Times New Roman" w:eastAsia="仿宋_GB2312"/>
          <w:bCs/>
          <w:color w:val="000000"/>
          <w:sz w:val="32"/>
          <w:szCs w:val="32"/>
        </w:rPr>
        <w:t>通过“控申小课堂”通报司法救助案件评查问题，统一司法救助案件办理要求；</w:t>
      </w:r>
      <w:r>
        <w:rPr>
          <w:rFonts w:hint="eastAsia" w:ascii="Times New Roman" w:hAnsi="Times New Roman" w:eastAsia="仿宋_GB2312"/>
          <w:bCs/>
          <w:color w:val="000000"/>
          <w:sz w:val="32"/>
          <w:szCs w:val="32"/>
        </w:rPr>
        <w:t>定期</w:t>
      </w:r>
      <w:r>
        <w:rPr>
          <w:rFonts w:ascii="Times New Roman" w:hAnsi="Times New Roman" w:eastAsia="仿宋_GB2312"/>
          <w:bCs/>
          <w:color w:val="000000"/>
          <w:sz w:val="32"/>
          <w:szCs w:val="32"/>
        </w:rPr>
        <w:t>对司法救助案件开展评查，从源头防范不规范问题；通过检察官联席会议等方式对司法救助案件进行实质性评估，严格把关案件质量，切实防止不当救助情形出现。</w:t>
      </w:r>
    </w:p>
    <w:p w14:paraId="172BF45A">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21</w:t>
      </w:r>
      <w:r>
        <w:rPr>
          <w:rFonts w:ascii="Times New Roman" w:hAnsi="Times New Roman" w:eastAsia="仿宋_GB2312"/>
          <w:bCs/>
          <w:color w:val="000000"/>
          <w:sz w:val="32"/>
          <w:szCs w:val="32"/>
        </w:rPr>
        <w:t>.关于“内部管理不严实”问题的整改。</w:t>
      </w:r>
    </w:p>
    <w:p w14:paraId="47957D78">
      <w:pPr>
        <w:overflowPunct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一是严格出国（境）管理，规范审批流程。</w:t>
      </w:r>
      <w:r>
        <w:rPr>
          <w:rFonts w:ascii="Times New Roman" w:hAnsi="Times New Roman" w:eastAsia="仿宋_GB2312"/>
          <w:bCs/>
          <w:color w:val="000000"/>
          <w:sz w:val="32"/>
          <w:szCs w:val="32"/>
        </w:rPr>
        <w:t>全面梳理因私出国（境）台账，建立“一人一册”档案，定期跟踪境外动态，确保管理全覆盖。强化制度宣讲，明确退休干警因私出国（境）审批要求，重点核查出国（境）频次与时限，筑牢审批监管防线。</w:t>
      </w:r>
      <w:r>
        <w:rPr>
          <w:rFonts w:ascii="Times New Roman" w:hAnsi="Times New Roman" w:eastAsia="仿宋_GB2312"/>
          <w:b/>
          <w:color w:val="000000"/>
          <w:sz w:val="32"/>
          <w:szCs w:val="32"/>
        </w:rPr>
        <w:t>二是推进合同管控，构建数字平台。</w:t>
      </w:r>
      <w:r>
        <w:rPr>
          <w:rFonts w:ascii="Times New Roman" w:hAnsi="Times New Roman" w:eastAsia="仿宋_GB2312"/>
          <w:bCs/>
          <w:color w:val="000000"/>
          <w:sz w:val="32"/>
          <w:szCs w:val="32"/>
        </w:rPr>
        <w:t>2025年启动“常检云”合同管理数字化</w:t>
      </w:r>
      <w:r>
        <w:rPr>
          <w:rFonts w:hint="eastAsia" w:ascii="Times New Roman" w:hAnsi="Times New Roman" w:eastAsia="仿宋_GB2312"/>
          <w:bCs/>
          <w:color w:val="000000"/>
          <w:sz w:val="32"/>
          <w:szCs w:val="32"/>
        </w:rPr>
        <w:t>备案</w:t>
      </w:r>
      <w:r>
        <w:rPr>
          <w:rFonts w:ascii="Times New Roman" w:hAnsi="Times New Roman" w:eastAsia="仿宋_GB2312"/>
          <w:bCs/>
          <w:color w:val="000000"/>
          <w:sz w:val="32"/>
          <w:szCs w:val="32"/>
        </w:rPr>
        <w:t>，组织机关部门及天目湖院内勤开展操作培训并投入使用；优化系统功能，完成两级院使用人信息维护并向基层院推广，同步开展全市合同管理业务培训。全年备案合同59份，通过数字化手段实现合同全流程规范管理。</w:t>
      </w:r>
      <w:r>
        <w:rPr>
          <w:rFonts w:ascii="Times New Roman" w:hAnsi="Times New Roman" w:eastAsia="仿宋_GB2312"/>
          <w:b/>
          <w:color w:val="000000"/>
          <w:sz w:val="32"/>
          <w:szCs w:val="32"/>
        </w:rPr>
        <w:t>三是优化档案管理。</w:t>
      </w:r>
      <w:r>
        <w:rPr>
          <w:rFonts w:ascii="Times New Roman" w:hAnsi="Times New Roman" w:eastAsia="仿宋_GB2312"/>
          <w:bCs/>
          <w:color w:val="000000"/>
          <w:sz w:val="32"/>
          <w:szCs w:val="32"/>
        </w:rPr>
        <w:t>先后制发两期《诉讼卷宗归档工作提示》，督促业务部门清查未归档卷宗，</w:t>
      </w:r>
      <w:r>
        <w:rPr>
          <w:rFonts w:ascii="Times New Roman" w:hAnsi="Times New Roman" w:eastAsia="仿宋_GB2312"/>
          <w:color w:val="000000"/>
          <w:sz w:val="32"/>
          <w:szCs w:val="32"/>
        </w:rPr>
        <w:t>2025年临期卷宗清零。</w:t>
      </w:r>
      <w:r>
        <w:rPr>
          <w:rFonts w:ascii="Times New Roman" w:hAnsi="Times New Roman" w:eastAsia="仿宋_GB2312"/>
          <w:bCs/>
          <w:color w:val="000000"/>
          <w:sz w:val="32"/>
          <w:szCs w:val="32"/>
        </w:rPr>
        <w:t>完善常检云2.0归档模块，新增智能提醒功能；结合历年归档数据与部门意见，精准推送未归卷宗清单至承办人，并通过专项提醒规范归档材料，推动卷宗归档及时性与规范性双提升。</w:t>
      </w:r>
      <w:r>
        <w:rPr>
          <w:rFonts w:ascii="Times New Roman" w:hAnsi="Times New Roman" w:eastAsia="仿宋_GB2312"/>
          <w:b/>
          <w:color w:val="000000"/>
          <w:sz w:val="32"/>
          <w:szCs w:val="32"/>
        </w:rPr>
        <w:t>四是规范信访处置，完善办理流程。</w:t>
      </w:r>
      <w:r>
        <w:rPr>
          <w:rFonts w:ascii="Times New Roman" w:hAnsi="Times New Roman" w:eastAsia="仿宋_GB2312"/>
          <w:bCs/>
          <w:color w:val="000000"/>
          <w:sz w:val="32"/>
          <w:szCs w:val="32"/>
        </w:rPr>
        <w:t>出台《常州市人民检察院问题线索办理工作规定（试行）》，明确自收信访件管理标准；配备信访件专用保管柜，实行专人专责管理，落实签收、处理、归档全流程登记。在派驻纪检组指导下，联合市中院举办纪检干部培训班，增设信访保密专项课程，强化保密意识与处置能力。</w:t>
      </w:r>
      <w:r>
        <w:rPr>
          <w:rFonts w:ascii="Times New Roman" w:hAnsi="Times New Roman" w:eastAsia="仿宋_GB2312"/>
          <w:b/>
          <w:color w:val="000000"/>
          <w:sz w:val="32"/>
          <w:szCs w:val="32"/>
        </w:rPr>
        <w:t>五是强化数据服务，严守查询规范。</w:t>
      </w:r>
      <w:r>
        <w:rPr>
          <w:rFonts w:ascii="Times New Roman" w:hAnsi="Times New Roman" w:eastAsia="仿宋_GB2312"/>
          <w:bCs/>
          <w:color w:val="000000"/>
          <w:sz w:val="32"/>
          <w:szCs w:val="32"/>
        </w:rPr>
        <w:t>依据数据查询规定，严格把控查询权限与流程，依托12309平台公开案件程序信息4623条、办理线上阅卷申请385次，为公众提供精准查询服务。按照最高检、</w:t>
      </w:r>
      <w:r>
        <w:rPr>
          <w:rFonts w:hint="eastAsia" w:ascii="Times New Roman" w:hAnsi="Times New Roman" w:eastAsia="仿宋_GB2312"/>
          <w:bCs/>
          <w:color w:val="000000"/>
          <w:sz w:val="32"/>
          <w:szCs w:val="32"/>
        </w:rPr>
        <w:t>省检察院</w:t>
      </w:r>
      <w:r>
        <w:rPr>
          <w:rFonts w:ascii="Times New Roman" w:hAnsi="Times New Roman" w:eastAsia="仿宋_GB2312"/>
          <w:bCs/>
          <w:color w:val="000000"/>
          <w:sz w:val="32"/>
          <w:szCs w:val="32"/>
        </w:rPr>
        <w:t>要求，发布全市检察机关2025年</w:t>
      </w:r>
      <w:r>
        <w:rPr>
          <w:rFonts w:hint="eastAsia" w:ascii="Times New Roman" w:hAnsi="Times New Roman" w:eastAsia="仿宋_GB2312"/>
          <w:bCs/>
          <w:color w:val="000000"/>
          <w:sz w:val="32"/>
          <w:szCs w:val="32"/>
        </w:rPr>
        <w:t>半年度、年度</w:t>
      </w:r>
      <w:r>
        <w:rPr>
          <w:rFonts w:ascii="Times New Roman" w:hAnsi="Times New Roman" w:eastAsia="仿宋_GB2312"/>
          <w:bCs/>
          <w:color w:val="000000"/>
          <w:sz w:val="32"/>
          <w:szCs w:val="32"/>
        </w:rPr>
        <w:t>办案数据，确保信息公开透明合规。</w:t>
      </w:r>
    </w:p>
    <w:p w14:paraId="72782629">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22</w:t>
      </w:r>
      <w:r>
        <w:rPr>
          <w:rFonts w:ascii="Times New Roman" w:hAnsi="Times New Roman" w:eastAsia="仿宋_GB2312"/>
          <w:color w:val="000000"/>
          <w:sz w:val="32"/>
          <w:szCs w:val="32"/>
        </w:rPr>
        <w:t>.关于“安全管理不严格”问题的整改。</w:t>
      </w:r>
    </w:p>
    <w:p w14:paraId="3B605AD2">
      <w:pPr>
        <w:overflowPunct w:val="0"/>
        <w:adjustRightInd w:val="0"/>
        <w:snapToGrid w:val="0"/>
        <w:spacing w:line="580" w:lineRule="exact"/>
        <w:ind w:firstLine="64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一是强化安全管理。</w:t>
      </w:r>
      <w:r>
        <w:rPr>
          <w:rFonts w:ascii="Times New Roman" w:hAnsi="Times New Roman" w:eastAsia="仿宋_GB2312"/>
          <w:color w:val="000000"/>
          <w:sz w:val="32"/>
          <w:szCs w:val="32"/>
        </w:rPr>
        <w:t>2025年，</w:t>
      </w:r>
      <w:r>
        <w:rPr>
          <w:rFonts w:hint="eastAsia" w:ascii="Times New Roman" w:hAnsi="Times New Roman" w:eastAsia="仿宋_GB2312"/>
          <w:color w:val="000000"/>
          <w:sz w:val="32"/>
          <w:szCs w:val="32"/>
        </w:rPr>
        <w:t>市检察院党组</w:t>
      </w:r>
      <w:r>
        <w:rPr>
          <w:rFonts w:ascii="Times New Roman" w:hAnsi="Times New Roman" w:eastAsia="仿宋_GB2312"/>
          <w:color w:val="000000"/>
          <w:sz w:val="32"/>
          <w:szCs w:val="32"/>
        </w:rPr>
        <w:t>两次专题部署安全生产工作，压实责任链条。针对配电室、消防等重点领域，落实制度更新，修订配电室管理制度并配备应急照明灯；强化巡查机制，安排消控员24小时值班，定期组织物业保安与食堂员工开展应急演练；彻底整改隐患，新建电动车充电棚，维修院内排水管与围墙老化问题。开展夏季安全培训、联合消防支队进行专项演练，为电瓶车库、新能源汽车充电场所及食堂等重点区域增配灭火毯、推车式水基灭火器等设备，全面消除安全隐患。</w:t>
      </w:r>
      <w:r>
        <w:rPr>
          <w:rFonts w:ascii="Times New Roman" w:hAnsi="Times New Roman" w:eastAsia="仿宋_GB2312"/>
          <w:b/>
          <w:bCs/>
          <w:color w:val="000000"/>
          <w:sz w:val="32"/>
          <w:szCs w:val="32"/>
        </w:rPr>
        <w:t>二是统筹保密与网络安全。</w:t>
      </w:r>
      <w:r>
        <w:rPr>
          <w:rFonts w:ascii="Times New Roman" w:hAnsi="Times New Roman" w:eastAsia="仿宋_GB2312"/>
          <w:color w:val="000000"/>
          <w:sz w:val="32"/>
          <w:szCs w:val="32"/>
        </w:rPr>
        <w:t>严格管控涉密文件流转、电报收发及载体销毁，启用保密工作规范化系统提升流程规范性。重大节假日前开展安全大检查，将保密安全纳入市检察院检查范围。组织新招录公务员及纪检干部参加保密专项培训，确保树牢保密意识。同步加强网络安全管理，构建“双网双认证”体系，部署新一代电子认证系统，严格身份认证管理。通过“人防+技防”结合，形成闭环管理体系，全面提升保密与网络安全防护水平。</w:t>
      </w:r>
    </w:p>
    <w:p w14:paraId="15DE55A5">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23</w:t>
      </w:r>
      <w:r>
        <w:rPr>
          <w:rFonts w:ascii="Times New Roman" w:hAnsi="Times New Roman" w:eastAsia="仿宋_GB2312"/>
          <w:bCs/>
          <w:color w:val="000000"/>
          <w:sz w:val="32"/>
          <w:szCs w:val="32"/>
        </w:rPr>
        <w:t>.关于“财务管理不严谨”问题的整改。</w:t>
      </w:r>
    </w:p>
    <w:p w14:paraId="7BB51FEB">
      <w:pPr>
        <w:overflowPunct w:val="0"/>
        <w:adjustRightInd w:val="0"/>
        <w:snapToGrid w:val="0"/>
        <w:spacing w:line="580" w:lineRule="exact"/>
        <w:ind w:firstLine="64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w:t>
      </w:r>
      <w:r>
        <w:rPr>
          <w:rFonts w:hint="eastAsia" w:ascii="Times New Roman" w:hAnsi="Times New Roman" w:eastAsia="仿宋_GB2312"/>
          <w:b/>
          <w:color w:val="000000"/>
          <w:sz w:val="32"/>
          <w:szCs w:val="32"/>
        </w:rPr>
        <w:t>提升财务管理能力</w:t>
      </w:r>
      <w:r>
        <w:rPr>
          <w:rFonts w:ascii="Times New Roman" w:hAnsi="Times New Roman" w:eastAsia="仿宋_GB2312"/>
          <w:b/>
          <w:color w:val="000000"/>
          <w:sz w:val="32"/>
          <w:szCs w:val="32"/>
        </w:rPr>
        <w:t>。</w:t>
      </w:r>
      <w:r>
        <w:rPr>
          <w:rFonts w:ascii="Times New Roman" w:hAnsi="Times New Roman" w:eastAsia="仿宋_GB2312"/>
          <w:bCs/>
          <w:color w:val="000000"/>
          <w:sz w:val="32"/>
          <w:szCs w:val="32"/>
        </w:rPr>
        <w:t>组织开展两级院财务互评与财会监督专项检查，对经费支出、政府采购等内控关键环节进行全面检查，强化风险防控意识</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组织内勤开展差旅费报销政策培训，严格遵循“谁支出、谁报销”原则。</w:t>
      </w:r>
      <w:r>
        <w:rPr>
          <w:rFonts w:ascii="Times New Roman" w:hAnsi="Times New Roman" w:eastAsia="仿宋_GB2312"/>
          <w:b/>
          <w:color w:val="000000"/>
          <w:sz w:val="32"/>
          <w:szCs w:val="32"/>
        </w:rPr>
        <w:t>二是严格</w:t>
      </w:r>
      <w:r>
        <w:rPr>
          <w:rFonts w:hint="eastAsia" w:ascii="Times New Roman" w:hAnsi="Times New Roman" w:eastAsia="仿宋_GB2312"/>
          <w:b/>
          <w:color w:val="000000"/>
          <w:sz w:val="32"/>
          <w:szCs w:val="32"/>
        </w:rPr>
        <w:t>执行财务管理规章制度，</w:t>
      </w:r>
      <w:r>
        <w:rPr>
          <w:rFonts w:ascii="Times New Roman" w:hAnsi="Times New Roman" w:eastAsia="仿宋_GB2312"/>
          <w:bCs/>
          <w:color w:val="000000"/>
          <w:sz w:val="32"/>
          <w:szCs w:val="32"/>
        </w:rPr>
        <w:t>强化资金支付审核，规范账务管理，确保预算资金使用合规高效</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推行集中打款授权书制度，规范报销流程。明确强制性刷卡场景与公务机票购置要求，实现差旅费无现金结算，全面推行转账或刷卡支付，提升结算规范性。</w:t>
      </w:r>
    </w:p>
    <w:p w14:paraId="4B51ECF1">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24</w:t>
      </w:r>
      <w:r>
        <w:rPr>
          <w:rFonts w:ascii="Times New Roman" w:hAnsi="Times New Roman" w:eastAsia="仿宋_GB2312"/>
          <w:bCs/>
          <w:color w:val="000000"/>
          <w:sz w:val="32"/>
          <w:szCs w:val="32"/>
        </w:rPr>
        <w:t>.关于“党组议大事不够规范”问题的整改。</w:t>
      </w:r>
    </w:p>
    <w:p w14:paraId="42A9DF61">
      <w:pPr>
        <w:overflowPunct w:val="0"/>
        <w:adjustRightInd w:val="0"/>
        <w:snapToGrid w:val="0"/>
        <w:spacing w:line="580" w:lineRule="exact"/>
        <w:ind w:firstLine="64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一是健全议事规则，规范决策流程。</w:t>
      </w:r>
      <w:r>
        <w:rPr>
          <w:rFonts w:ascii="Times New Roman" w:hAnsi="Times New Roman" w:eastAsia="仿宋_GB2312"/>
          <w:bCs/>
          <w:color w:val="000000"/>
          <w:sz w:val="32"/>
          <w:szCs w:val="32"/>
        </w:rPr>
        <w:t>审议出台《常州市人民检察院检察长办公会工作规则》，明确议事范围与边界。配套制发《关于进一步规范</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党组会、检察长办公会议题上会事项的工作提示》，细化议题材料、汇报内容与上会流程标准，提升会议质效。</w:t>
      </w:r>
      <w:r>
        <w:rPr>
          <w:rFonts w:ascii="Times New Roman" w:hAnsi="Times New Roman" w:eastAsia="仿宋_GB2312"/>
          <w:b/>
          <w:color w:val="000000"/>
          <w:sz w:val="32"/>
          <w:szCs w:val="32"/>
        </w:rPr>
        <w:t>二是严格会议管理，提升决策效能。</w:t>
      </w:r>
      <w:r>
        <w:rPr>
          <w:rFonts w:ascii="Times New Roman" w:hAnsi="Times New Roman" w:eastAsia="仿宋_GB2312"/>
          <w:bCs/>
          <w:color w:val="000000"/>
          <w:sz w:val="32"/>
          <w:szCs w:val="32"/>
        </w:rPr>
        <w:t>严格执行《常州市人民检察院党组工作规则》，落实会议频次与决策程序要求。强化基层院指导，制发《关于进一步规范党组议事的工作提示》，明确议事规则与程序要求，推动基层院全面完成制度修订。</w:t>
      </w:r>
      <w:r>
        <w:rPr>
          <w:rFonts w:ascii="Times New Roman" w:hAnsi="Times New Roman" w:eastAsia="仿宋_GB2312"/>
          <w:b/>
          <w:color w:val="000000"/>
          <w:sz w:val="32"/>
          <w:szCs w:val="32"/>
        </w:rPr>
        <w:t>三是深化学习培训，统一执行标准。</w:t>
      </w:r>
      <w:r>
        <w:rPr>
          <w:rFonts w:ascii="Times New Roman" w:hAnsi="Times New Roman" w:eastAsia="仿宋_GB2312"/>
          <w:color w:val="000000"/>
          <w:sz w:val="32"/>
          <w:szCs w:val="32"/>
        </w:rPr>
        <w:t>组织专题学习会</w:t>
      </w:r>
      <w:r>
        <w:rPr>
          <w:rFonts w:ascii="Times New Roman" w:hAnsi="Times New Roman" w:eastAsia="仿宋_GB2312"/>
          <w:bCs/>
          <w:color w:val="000000"/>
          <w:sz w:val="32"/>
          <w:szCs w:val="32"/>
        </w:rPr>
        <w:t>，集中培训两级院</w:t>
      </w:r>
      <w:r>
        <w:rPr>
          <w:rFonts w:hint="eastAsia" w:ascii="Times New Roman" w:hAnsi="Times New Roman" w:eastAsia="仿宋_GB2312"/>
          <w:bCs/>
          <w:color w:val="000000"/>
          <w:sz w:val="32"/>
          <w:szCs w:val="32"/>
        </w:rPr>
        <w:t>相关</w:t>
      </w:r>
      <w:r>
        <w:rPr>
          <w:rFonts w:ascii="Times New Roman" w:hAnsi="Times New Roman" w:eastAsia="仿宋_GB2312"/>
          <w:bCs/>
          <w:color w:val="000000"/>
          <w:sz w:val="32"/>
          <w:szCs w:val="32"/>
        </w:rPr>
        <w:t>部门负责人，针对基层院党组会、办公会召开中的共性问题答疑释惑，系统阐释议事决策事项、程序与要求，确保制度执行规范统一。</w:t>
      </w:r>
    </w:p>
    <w:p w14:paraId="01AA4810">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25</w:t>
      </w:r>
      <w:r>
        <w:rPr>
          <w:rFonts w:ascii="Times New Roman" w:hAnsi="Times New Roman" w:eastAsia="仿宋_GB2312"/>
          <w:bCs/>
          <w:color w:val="000000"/>
          <w:sz w:val="32"/>
          <w:szCs w:val="32"/>
        </w:rPr>
        <w:t>.关于“党组抓落实不够有力”问题的整改。</w:t>
      </w:r>
    </w:p>
    <w:p w14:paraId="6EB7F360">
      <w:pPr>
        <w:overflowPunct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一是强化跟踪督导，压实工作责任。</w:t>
      </w:r>
      <w:r>
        <w:rPr>
          <w:rFonts w:ascii="Times New Roman" w:hAnsi="Times New Roman" w:eastAsia="仿宋_GB2312"/>
          <w:bCs/>
          <w:color w:val="000000"/>
          <w:sz w:val="32"/>
          <w:szCs w:val="32"/>
        </w:rPr>
        <w:t>聚焦“</w:t>
      </w:r>
      <w:r>
        <w:rPr>
          <w:rFonts w:hint="eastAsia" w:ascii="Times New Roman" w:hAnsi="Times New Roman" w:eastAsia="仿宋_GB2312"/>
          <w:bCs/>
          <w:color w:val="000000"/>
          <w:sz w:val="32"/>
          <w:szCs w:val="32"/>
        </w:rPr>
        <w:t>选题答题</w:t>
      </w:r>
      <w:r>
        <w:rPr>
          <w:rFonts w:ascii="Times New Roman" w:hAnsi="Times New Roman" w:eastAsia="仿宋_GB2312"/>
          <w:bCs/>
          <w:color w:val="000000"/>
          <w:sz w:val="32"/>
          <w:szCs w:val="32"/>
        </w:rPr>
        <w:t>”等重点工作，</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对基层院开展5轮共计30次的督导检查（含现场督导和视频调度），针对存在问题逐一剖析，提出针对性改进意见，确保督导精准有效。</w:t>
      </w:r>
      <w:r>
        <w:rPr>
          <w:rFonts w:ascii="Times New Roman" w:hAnsi="Times New Roman" w:eastAsia="仿宋_GB2312"/>
          <w:b/>
          <w:color w:val="000000"/>
          <w:sz w:val="32"/>
          <w:szCs w:val="32"/>
        </w:rPr>
        <w:t>二是全程跟进指导，培育精品案件。</w:t>
      </w:r>
      <w:r>
        <w:rPr>
          <w:rFonts w:ascii="Times New Roman" w:hAnsi="Times New Roman" w:eastAsia="仿宋_GB2312"/>
          <w:bCs/>
          <w:color w:val="000000"/>
          <w:sz w:val="32"/>
          <w:szCs w:val="32"/>
        </w:rPr>
        <w:t>对全市24件“</w:t>
      </w:r>
      <w:r>
        <w:rPr>
          <w:rFonts w:hint="eastAsia" w:ascii="Times New Roman" w:hAnsi="Times New Roman" w:eastAsia="仿宋_GB2312"/>
          <w:bCs/>
          <w:color w:val="000000"/>
          <w:sz w:val="32"/>
          <w:szCs w:val="32"/>
        </w:rPr>
        <w:t>选题答题</w:t>
      </w:r>
      <w:r>
        <w:rPr>
          <w:rFonts w:ascii="Times New Roman" w:hAnsi="Times New Roman" w:eastAsia="仿宋_GB2312"/>
          <w:bCs/>
          <w:color w:val="000000"/>
          <w:sz w:val="32"/>
          <w:szCs w:val="32"/>
        </w:rPr>
        <w:t>”重点案件实施专人专案跟踪，从证据链条、法律适用、程序规范、办案效果等方面强化指导。</w:t>
      </w:r>
      <w:r>
        <w:rPr>
          <w:rFonts w:hint="eastAsia" w:ascii="Times New Roman" w:hAnsi="Times New Roman" w:eastAsia="仿宋_GB2312"/>
          <w:bCs/>
          <w:color w:val="000000"/>
          <w:sz w:val="32"/>
          <w:szCs w:val="32"/>
          <w:lang w:val="en-US" w:eastAsia="zh-CN"/>
        </w:rPr>
        <w:t>院</w:t>
      </w:r>
      <w:r>
        <w:rPr>
          <w:rFonts w:ascii="Times New Roman" w:hAnsi="Times New Roman" w:eastAsia="仿宋_GB2312"/>
          <w:bCs/>
          <w:color w:val="000000"/>
          <w:sz w:val="32"/>
          <w:szCs w:val="32"/>
        </w:rPr>
        <w:t>领导参与案件办理、阅卷评审和结题验收</w:t>
      </w:r>
      <w:r>
        <w:rPr>
          <w:rFonts w:hint="eastAsia" w:ascii="Times New Roman" w:hAnsi="Times New Roman" w:eastAsia="仿宋_GB2312"/>
          <w:bCs/>
          <w:color w:val="000000"/>
          <w:sz w:val="32"/>
          <w:szCs w:val="32"/>
          <w:lang w:eastAsia="zh-CN"/>
        </w:rPr>
        <w:t>等重要环节</w:t>
      </w:r>
      <w:r>
        <w:rPr>
          <w:rFonts w:ascii="Times New Roman" w:hAnsi="Times New Roman" w:eastAsia="仿宋_GB2312"/>
          <w:bCs/>
          <w:color w:val="000000"/>
          <w:sz w:val="32"/>
          <w:szCs w:val="32"/>
        </w:rPr>
        <w:t>，推动案件质量与典型性双提升。</w:t>
      </w:r>
      <w:r>
        <w:rPr>
          <w:rFonts w:ascii="Times New Roman" w:hAnsi="Times New Roman" w:eastAsia="仿宋_GB2312"/>
          <w:b/>
          <w:color w:val="000000"/>
          <w:sz w:val="32"/>
          <w:szCs w:val="32"/>
        </w:rPr>
        <w:t>三是深化案例培育，凸显引领成效。</w:t>
      </w:r>
      <w:r>
        <w:rPr>
          <w:rFonts w:ascii="Times New Roman" w:hAnsi="Times New Roman" w:eastAsia="仿宋_GB2312"/>
          <w:bCs/>
          <w:color w:val="000000"/>
          <w:sz w:val="32"/>
          <w:szCs w:val="32"/>
        </w:rPr>
        <w:t>采取“一对一”现场指导模式，助力基层院培育典型案例9件。经严格筛选，向</w:t>
      </w:r>
      <w:r>
        <w:rPr>
          <w:rFonts w:hint="eastAsia" w:ascii="Times New Roman" w:hAnsi="Times New Roman" w:eastAsia="仿宋_GB2312"/>
          <w:bCs/>
          <w:color w:val="000000"/>
          <w:sz w:val="32"/>
          <w:szCs w:val="32"/>
        </w:rPr>
        <w:t>省检察院</w:t>
      </w:r>
      <w:r>
        <w:rPr>
          <w:rFonts w:ascii="Times New Roman" w:hAnsi="Times New Roman" w:eastAsia="仿宋_GB2312"/>
          <w:bCs/>
          <w:color w:val="000000"/>
          <w:sz w:val="32"/>
          <w:szCs w:val="32"/>
        </w:rPr>
        <w:t>重点推荐7件，其中3件成功入选</w:t>
      </w:r>
      <w:r>
        <w:rPr>
          <w:rFonts w:hint="eastAsia" w:ascii="Times New Roman" w:hAnsi="Times New Roman" w:eastAsia="仿宋_GB2312"/>
          <w:bCs/>
          <w:color w:val="000000"/>
          <w:sz w:val="32"/>
          <w:szCs w:val="32"/>
        </w:rPr>
        <w:t>省检察院</w:t>
      </w:r>
      <w:r>
        <w:rPr>
          <w:rFonts w:ascii="Times New Roman" w:hAnsi="Times New Roman" w:eastAsia="仿宋_GB2312"/>
          <w:bCs/>
          <w:color w:val="000000"/>
          <w:sz w:val="32"/>
          <w:szCs w:val="32"/>
        </w:rPr>
        <w:t>典型案例，为全市检察工作树立标杆。</w:t>
      </w:r>
    </w:p>
    <w:p w14:paraId="2215C583">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26</w:t>
      </w:r>
      <w:r>
        <w:rPr>
          <w:rFonts w:ascii="Times New Roman" w:hAnsi="Times New Roman" w:eastAsia="仿宋_GB2312"/>
          <w:color w:val="000000"/>
          <w:sz w:val="32"/>
          <w:szCs w:val="32"/>
        </w:rPr>
        <w:t>.关于“落实监督责任有短板”问题的整改。</w:t>
      </w:r>
    </w:p>
    <w:p w14:paraId="68ADF474">
      <w:pPr>
        <w:overflowPunct w:val="0"/>
        <w:adjustRightInd w:val="0"/>
        <w:snapToGrid w:val="0"/>
        <w:spacing w:line="580" w:lineRule="exact"/>
        <w:ind w:firstLine="64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一是聚焦制度建设，规范工作流程。</w:t>
      </w:r>
      <w:r>
        <w:rPr>
          <w:rFonts w:ascii="Times New Roman" w:hAnsi="Times New Roman" w:eastAsia="仿宋_GB2312"/>
          <w:color w:val="000000"/>
          <w:sz w:val="32"/>
          <w:szCs w:val="32"/>
        </w:rPr>
        <w:t>出台《常州市人民检察院关于问题线索办理工作的规定（试行）》，从制度层面规范自收信访举报件处置流程。制定</w:t>
      </w:r>
      <w:r>
        <w:rPr>
          <w:rFonts w:hint="eastAsia" w:ascii="Times New Roman" w:hAnsi="Times New Roman" w:eastAsia="仿宋_GB2312"/>
          <w:color w:val="000000"/>
          <w:sz w:val="32"/>
          <w:szCs w:val="32"/>
        </w:rPr>
        <w:t>年度</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纪检工作要点》，每半年向党组汇报工作进展，常态化开展风险研判，推动</w:t>
      </w:r>
      <w:r>
        <w:rPr>
          <w:rFonts w:hint="eastAsia" w:ascii="Times New Roman" w:hAnsi="Times New Roman" w:eastAsia="仿宋_GB2312"/>
          <w:color w:val="000000"/>
          <w:sz w:val="32"/>
          <w:szCs w:val="32"/>
        </w:rPr>
        <w:t>内部</w:t>
      </w:r>
      <w:r>
        <w:rPr>
          <w:rFonts w:ascii="Times New Roman" w:hAnsi="Times New Roman" w:eastAsia="仿宋_GB2312"/>
          <w:color w:val="000000"/>
          <w:sz w:val="32"/>
          <w:szCs w:val="32"/>
        </w:rPr>
        <w:t>纪检工作规范化、透明化、制度化建设</w:t>
      </w:r>
      <w:r>
        <w:rPr>
          <w:rFonts w:hint="eastAsia" w:ascii="Times New Roman" w:hAnsi="Times New Roman" w:eastAsia="仿宋_GB2312"/>
          <w:color w:val="000000"/>
          <w:sz w:val="32"/>
          <w:szCs w:val="32"/>
        </w:rPr>
        <w:t>。</w:t>
      </w:r>
      <w:r>
        <w:rPr>
          <w:rFonts w:ascii="Times New Roman" w:hAnsi="Times New Roman" w:eastAsia="仿宋_GB2312"/>
          <w:b/>
          <w:bCs/>
          <w:color w:val="000000"/>
          <w:sz w:val="32"/>
          <w:szCs w:val="32"/>
        </w:rPr>
        <w:t>二是强化协同监督，深化规范执行。</w:t>
      </w:r>
      <w:r>
        <w:rPr>
          <w:rFonts w:ascii="Times New Roman" w:hAnsi="Times New Roman" w:eastAsia="仿宋_GB2312"/>
          <w:color w:val="000000"/>
          <w:sz w:val="32"/>
          <w:szCs w:val="32"/>
        </w:rPr>
        <w:t>建立多部门常态化监督机制，定期开展综合廉情分析，规范信访处置和立案标准。发挥执法督察办案团队作用，定期研讨专项督察核心业务，提升办案能力，培育专业化人才。严格落实“三个规定”，</w:t>
      </w:r>
      <w:r>
        <w:rPr>
          <w:rFonts w:hint="eastAsia" w:ascii="Times New Roman" w:hAnsi="Times New Roman" w:eastAsia="仿宋_GB2312"/>
          <w:color w:val="000000"/>
          <w:sz w:val="32"/>
          <w:szCs w:val="32"/>
        </w:rPr>
        <w:t>将</w:t>
      </w:r>
      <w:r>
        <w:rPr>
          <w:rFonts w:ascii="Times New Roman" w:hAnsi="Times New Roman" w:eastAsia="仿宋_GB2312"/>
          <w:color w:val="000000"/>
          <w:sz w:val="32"/>
          <w:szCs w:val="32"/>
        </w:rPr>
        <w:t>填报要求嵌入案件全流程，</w:t>
      </w:r>
      <w:r>
        <w:rPr>
          <w:rFonts w:hint="eastAsia" w:ascii="Times New Roman" w:hAnsi="Times New Roman" w:eastAsia="仿宋_GB2312"/>
          <w:color w:val="000000"/>
          <w:sz w:val="32"/>
          <w:szCs w:val="32"/>
        </w:rPr>
        <w:t>通过</w:t>
      </w:r>
      <w:r>
        <w:rPr>
          <w:rFonts w:ascii="Times New Roman" w:hAnsi="Times New Roman" w:eastAsia="仿宋_GB2312"/>
          <w:color w:val="000000"/>
          <w:sz w:val="32"/>
          <w:szCs w:val="32"/>
        </w:rPr>
        <w:t>开展</w:t>
      </w:r>
      <w:r>
        <w:rPr>
          <w:rFonts w:hint="eastAsia" w:ascii="Times New Roman" w:hAnsi="Times New Roman" w:eastAsia="仿宋_GB2312"/>
          <w:color w:val="000000"/>
          <w:sz w:val="32"/>
          <w:szCs w:val="32"/>
        </w:rPr>
        <w:t>政策宣讲</w:t>
      </w:r>
      <w:r>
        <w:rPr>
          <w:rFonts w:ascii="Times New Roman" w:hAnsi="Times New Roman" w:eastAsia="仿宋_GB2312"/>
          <w:color w:val="000000"/>
          <w:sz w:val="32"/>
          <w:szCs w:val="32"/>
        </w:rPr>
        <w:t>解读，专项分析通报</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确保无瞒报漏报。</w:t>
      </w:r>
    </w:p>
    <w:p w14:paraId="03F58E9D">
      <w:pPr>
        <w:overflowPunct w:val="0"/>
        <w:adjustRightInd w:val="0"/>
        <w:snapToGrid w:val="0"/>
        <w:spacing w:line="580" w:lineRule="exact"/>
        <w:ind w:firstLine="64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27</w:t>
      </w:r>
      <w:r>
        <w:rPr>
          <w:rFonts w:ascii="Times New Roman" w:hAnsi="Times New Roman" w:eastAsia="仿宋_GB2312"/>
          <w:bCs/>
          <w:color w:val="000000"/>
          <w:sz w:val="32"/>
          <w:szCs w:val="32"/>
        </w:rPr>
        <w:t>.关于“落实党建工作责任制不扎实”问题的整改。</w:t>
      </w:r>
    </w:p>
    <w:p w14:paraId="237B7941">
      <w:pPr>
        <w:overflowPunct w:val="0"/>
        <w:adjustRightInd w:val="0"/>
        <w:snapToGrid w:val="0"/>
        <w:spacing w:line="580" w:lineRule="exact"/>
        <w:ind w:firstLine="643" w:firstLineChars="200"/>
        <w:rPr>
          <w:rFonts w:ascii="Times New Roman" w:hAnsi="Times New Roman" w:eastAsia="仿宋_GB2312"/>
          <w:bCs/>
          <w:color w:val="000000"/>
          <w:sz w:val="32"/>
          <w:szCs w:val="32"/>
        </w:rPr>
      </w:pPr>
      <w:r>
        <w:rPr>
          <w:rFonts w:ascii="Times New Roman" w:hAnsi="Times New Roman" w:eastAsia="仿宋_GB2312"/>
          <w:b/>
          <w:color w:val="000000"/>
          <w:sz w:val="32"/>
          <w:szCs w:val="32"/>
        </w:rPr>
        <w:t>一是强化党建引领，夯实制度基础。</w:t>
      </w:r>
      <w:r>
        <w:rPr>
          <w:rFonts w:ascii="Times New Roman" w:hAnsi="Times New Roman" w:eastAsia="仿宋_GB2312"/>
          <w:bCs/>
          <w:color w:val="000000"/>
          <w:sz w:val="32"/>
          <w:szCs w:val="32"/>
        </w:rPr>
        <w:t>制定《</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机关“四强”党支部培养管理实施方案》《“一支部一特色”党建业务融合品牌培育方案》，定期发布党建工作重点提示，对“四强”党支部创建和融合品牌培育开展督导检查，推动任务落实落地。</w:t>
      </w:r>
      <w:r>
        <w:rPr>
          <w:rFonts w:ascii="Times New Roman" w:hAnsi="Times New Roman" w:eastAsia="仿宋_GB2312"/>
          <w:b/>
          <w:color w:val="000000"/>
          <w:sz w:val="32"/>
          <w:szCs w:val="32"/>
        </w:rPr>
        <w:t>二是深化品牌创建，促进融合实效。</w:t>
      </w:r>
      <w:r>
        <w:rPr>
          <w:rFonts w:ascii="Times New Roman" w:hAnsi="Times New Roman" w:eastAsia="仿宋_GB2312"/>
          <w:bCs/>
          <w:color w:val="000000"/>
          <w:sz w:val="32"/>
          <w:szCs w:val="32"/>
        </w:rPr>
        <w:t>组织全市检察机关“融党建”品牌培育交流，提升党务干部“一肩挑、融合抓”责任意识。年底实行党支部书记述职考评，采取书面与现场述</w:t>
      </w:r>
      <w:r>
        <w:rPr>
          <w:rFonts w:hint="eastAsia" w:ascii="Times New Roman" w:hAnsi="Times New Roman" w:eastAsia="仿宋_GB2312"/>
          <w:bCs/>
          <w:color w:val="000000"/>
          <w:sz w:val="32"/>
          <w:szCs w:val="32"/>
        </w:rPr>
        <w:t>职相</w:t>
      </w:r>
      <w:r>
        <w:rPr>
          <w:rFonts w:ascii="Times New Roman" w:hAnsi="Times New Roman" w:eastAsia="仿宋_GB2312"/>
          <w:bCs/>
          <w:color w:val="000000"/>
          <w:sz w:val="32"/>
          <w:szCs w:val="32"/>
        </w:rPr>
        <w:t>结合，重点考核“一岗双责”落实及党建业务融合成效，考评结果纳入评先评优依据。</w:t>
      </w:r>
      <w:r>
        <w:rPr>
          <w:rFonts w:hint="eastAsia" w:ascii="Times New Roman" w:hAnsi="Times New Roman" w:eastAsia="仿宋_GB2312"/>
          <w:bCs/>
          <w:color w:val="000000"/>
          <w:sz w:val="32"/>
          <w:szCs w:val="32"/>
        </w:rPr>
        <w:t>市检察院</w:t>
      </w:r>
      <w:r>
        <w:rPr>
          <w:rFonts w:ascii="Times New Roman" w:hAnsi="Times New Roman" w:eastAsia="仿宋_GB2312"/>
          <w:bCs/>
          <w:color w:val="000000"/>
          <w:sz w:val="32"/>
          <w:szCs w:val="32"/>
        </w:rPr>
        <w:t>第七党支部在省检察</w:t>
      </w:r>
      <w:r>
        <w:rPr>
          <w:rFonts w:hint="eastAsia" w:ascii="Times New Roman" w:hAnsi="Times New Roman" w:eastAsia="仿宋_GB2312"/>
          <w:bCs/>
          <w:color w:val="000000"/>
          <w:sz w:val="32"/>
          <w:szCs w:val="32"/>
          <w:lang w:eastAsia="zh-CN"/>
        </w:rPr>
        <w:t>院</w:t>
      </w:r>
      <w:r>
        <w:rPr>
          <w:rFonts w:ascii="Times New Roman" w:hAnsi="Times New Roman" w:eastAsia="仿宋_GB2312"/>
          <w:bCs/>
          <w:color w:val="000000"/>
          <w:sz w:val="32"/>
          <w:szCs w:val="32"/>
        </w:rPr>
        <w:t>机关</w:t>
      </w:r>
      <w:r>
        <w:rPr>
          <w:rFonts w:hint="eastAsia" w:ascii="Times New Roman" w:hAnsi="Times New Roman" w:eastAsia="仿宋_GB2312"/>
          <w:bCs/>
          <w:color w:val="000000"/>
          <w:sz w:val="32"/>
          <w:szCs w:val="32"/>
          <w:lang w:eastAsia="zh-CN"/>
        </w:rPr>
        <w:t>党建</w:t>
      </w:r>
      <w:r>
        <w:rPr>
          <w:rFonts w:ascii="Times New Roman" w:hAnsi="Times New Roman" w:eastAsia="仿宋_GB2312"/>
          <w:bCs/>
          <w:color w:val="000000"/>
          <w:sz w:val="32"/>
          <w:szCs w:val="32"/>
        </w:rPr>
        <w:t>交流会上作《党建领航架心桥 融合赋能解民忧》发言。</w:t>
      </w:r>
      <w:r>
        <w:rPr>
          <w:rFonts w:ascii="Times New Roman" w:hAnsi="Times New Roman" w:eastAsia="仿宋_GB2312"/>
          <w:b/>
          <w:color w:val="000000"/>
          <w:sz w:val="32"/>
          <w:szCs w:val="32"/>
        </w:rPr>
        <w:t>三是严格组织生活，激发担当作为。</w:t>
      </w:r>
      <w:r>
        <w:rPr>
          <w:rFonts w:ascii="Times New Roman" w:hAnsi="Times New Roman" w:eastAsia="仿宋_GB2312"/>
          <w:bCs/>
          <w:color w:val="000000"/>
          <w:sz w:val="32"/>
          <w:szCs w:val="32"/>
        </w:rPr>
        <w:t>组织党支部召开“明方向、聚合力、勇担当”专题学习会，聚焦“巩固、深化、提升”任务开展批评与自我批评。会前谈心谈话查摆问题，会中集体研究整改措施，会后推动落实，以党建赋能保障重点任务攻坚。</w:t>
      </w:r>
    </w:p>
    <w:p w14:paraId="16EFA233">
      <w:pPr>
        <w:overflowPunct w:val="0"/>
        <w:adjustRightInd w:val="0"/>
        <w:snapToGrid w:val="0"/>
        <w:spacing w:line="580" w:lineRule="exact"/>
        <w:ind w:firstLine="640" w:firstLineChars="200"/>
        <w:rPr>
          <w:rFonts w:ascii="Times New Roman" w:hAnsi="Times New Roman" w:eastAsia="楷体_GB2312"/>
          <w:color w:val="000000"/>
          <w:sz w:val="32"/>
          <w:szCs w:val="32"/>
        </w:rPr>
      </w:pPr>
      <w:r>
        <w:rPr>
          <w:rFonts w:ascii="Times New Roman" w:hAnsi="Times New Roman" w:eastAsia="楷体_GB2312"/>
          <w:bCs/>
          <w:color w:val="000000"/>
          <w:sz w:val="32"/>
          <w:szCs w:val="32"/>
        </w:rPr>
        <w:t>（二）</w:t>
      </w:r>
      <w:r>
        <w:rPr>
          <w:rFonts w:ascii="Times New Roman" w:hAnsi="Times New Roman" w:eastAsia="楷体_GB2312"/>
          <w:color w:val="000000"/>
          <w:sz w:val="32"/>
          <w:szCs w:val="32"/>
        </w:rPr>
        <w:t>按计划持续推进的整改事项</w:t>
      </w:r>
    </w:p>
    <w:p w14:paraId="74D6812F">
      <w:pPr>
        <w:overflowPunct w:val="0"/>
        <w:snapToGrid w:val="0"/>
        <w:spacing w:line="58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截至目前，共计</w:t>
      </w:r>
      <w:r>
        <w:rPr>
          <w:rFonts w:hint="eastAsia" w:ascii="Times New Roman" w:hAnsi="Times New Roman" w:eastAsia="仿宋_GB2312"/>
          <w:color w:val="000000"/>
          <w:sz w:val="32"/>
          <w:szCs w:val="32"/>
        </w:rPr>
        <w:t>8</w:t>
      </w:r>
      <w:r>
        <w:rPr>
          <w:rFonts w:ascii="Times New Roman" w:hAnsi="Times New Roman" w:eastAsia="仿宋_GB2312"/>
          <w:color w:val="000000"/>
          <w:sz w:val="32"/>
          <w:szCs w:val="32"/>
        </w:rPr>
        <w:t>个问题正在整改过程中，需持续推进。</w:t>
      </w:r>
    </w:p>
    <w:p w14:paraId="30E6D887">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.关于“推动重大工作落实不及时”问题的整改。</w:t>
      </w:r>
    </w:p>
    <w:p w14:paraId="2DCFA632">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目前已经完成的整改内容：一是深化法治保障，优化营商环境。</w:t>
      </w:r>
      <w:r>
        <w:rPr>
          <w:rFonts w:ascii="Times New Roman" w:hAnsi="Times New Roman" w:eastAsia="仿宋_GB2312"/>
          <w:color w:val="000000"/>
          <w:sz w:val="32"/>
          <w:szCs w:val="32"/>
        </w:rPr>
        <w:t>严格落实中发28号文件精神，联合市委政法委制定执法监督衔接工作试行方案，同步开展首轮联合督查。扎实推进优化法治化营商环境六大专项行动，聚焦亲商安商富商，涉企犯罪治理建议获市委采纳，</w:t>
      </w:r>
      <w:r>
        <w:rPr>
          <w:rFonts w:hint="eastAsia" w:ascii="Times New Roman" w:hAnsi="Times New Roman" w:eastAsia="仿宋_GB2312"/>
          <w:color w:val="000000"/>
          <w:sz w:val="32"/>
          <w:szCs w:val="32"/>
        </w:rPr>
        <w:t>保障</w:t>
      </w:r>
      <w:r>
        <w:rPr>
          <w:rFonts w:ascii="Times New Roman" w:hAnsi="Times New Roman" w:eastAsia="仿宋_GB2312"/>
          <w:color w:val="000000"/>
          <w:sz w:val="32"/>
          <w:szCs w:val="32"/>
        </w:rPr>
        <w:t>法治化营商环境</w:t>
      </w:r>
      <w:r>
        <w:rPr>
          <w:rFonts w:hint="eastAsia" w:ascii="Times New Roman" w:hAnsi="Times New Roman" w:eastAsia="仿宋_GB2312"/>
          <w:color w:val="000000"/>
          <w:sz w:val="32"/>
          <w:szCs w:val="32"/>
        </w:rPr>
        <w:t>工作</w:t>
      </w:r>
      <w:r>
        <w:rPr>
          <w:rFonts w:ascii="Times New Roman" w:hAnsi="Times New Roman" w:eastAsia="仿宋_GB2312"/>
          <w:color w:val="000000"/>
          <w:sz w:val="32"/>
          <w:szCs w:val="32"/>
        </w:rPr>
        <w:t>成效</w:t>
      </w:r>
      <w:r>
        <w:rPr>
          <w:rFonts w:hint="eastAsia" w:ascii="Times New Roman" w:hAnsi="Times New Roman" w:eastAsia="仿宋_GB2312"/>
          <w:color w:val="000000"/>
          <w:sz w:val="32"/>
          <w:szCs w:val="32"/>
        </w:rPr>
        <w:t>明显</w:t>
      </w:r>
      <w:r>
        <w:rPr>
          <w:rFonts w:ascii="Times New Roman" w:hAnsi="Times New Roman" w:eastAsia="仿宋_GB2312"/>
          <w:color w:val="000000"/>
          <w:sz w:val="32"/>
          <w:szCs w:val="32"/>
        </w:rPr>
        <w:t>。</w:t>
      </w:r>
      <w:r>
        <w:rPr>
          <w:rFonts w:ascii="Times New Roman" w:hAnsi="Times New Roman" w:eastAsia="仿宋_GB2312"/>
          <w:b/>
          <w:bCs/>
          <w:color w:val="000000"/>
          <w:sz w:val="32"/>
          <w:szCs w:val="32"/>
        </w:rPr>
        <w:t>二是健全制度体系，深化研学实践。</w:t>
      </w:r>
      <w:r>
        <w:rPr>
          <w:rFonts w:ascii="Times New Roman" w:hAnsi="Times New Roman" w:eastAsia="仿宋_GB2312"/>
          <w:color w:val="000000"/>
          <w:sz w:val="32"/>
          <w:szCs w:val="32"/>
        </w:rPr>
        <w:t>严格贯彻《常州市人民检察院党组工作条例》，严格落实“第一议题”制度，出台议事规范文件，强化民主集中制。同步摸排干部底数，谋划换届筹备，出台年轻干部培育方案优化队伍结构。</w:t>
      </w:r>
      <w:r>
        <w:rPr>
          <w:rFonts w:hint="eastAsia" w:ascii="Times New Roman" w:hAnsi="Times New Roman" w:eastAsia="仿宋_GB2312"/>
          <w:color w:val="000000"/>
          <w:sz w:val="32"/>
          <w:szCs w:val="32"/>
        </w:rPr>
        <w:t>市</w:t>
      </w:r>
      <w:r>
        <w:rPr>
          <w:rFonts w:ascii="Times New Roman" w:hAnsi="Times New Roman" w:eastAsia="仿宋_GB2312"/>
          <w:color w:val="000000"/>
          <w:sz w:val="32"/>
          <w:szCs w:val="32"/>
        </w:rPr>
        <w:t>院</w:t>
      </w:r>
      <w:r>
        <w:rPr>
          <w:rFonts w:hint="eastAsia" w:ascii="Times New Roman" w:hAnsi="Times New Roman" w:eastAsia="仿宋_GB2312"/>
          <w:color w:val="000000"/>
          <w:sz w:val="32"/>
          <w:szCs w:val="32"/>
        </w:rPr>
        <w:t>党组</w:t>
      </w:r>
      <w:r>
        <w:rPr>
          <w:rFonts w:ascii="Times New Roman" w:hAnsi="Times New Roman" w:eastAsia="仿宋_GB2312"/>
          <w:color w:val="000000"/>
          <w:sz w:val="32"/>
          <w:szCs w:val="32"/>
        </w:rPr>
        <w:t>聚焦中国式现代化等专题调研，以法律监督推进标杆院建设。</w:t>
      </w:r>
    </w:p>
    <w:p w14:paraId="603E084D">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下一步推进举措：</w:t>
      </w:r>
      <w:r>
        <w:rPr>
          <w:rFonts w:ascii="Times New Roman" w:hAnsi="Times New Roman" w:eastAsia="仿宋_GB2312"/>
          <w:color w:val="000000"/>
          <w:sz w:val="32"/>
          <w:szCs w:val="32"/>
        </w:rPr>
        <w:t xml:space="preserve">持续加强两级院领导班子建设和年轻干部选育用管，为新时代检察发展提供坚强组织保障和人才支撑。   </w:t>
      </w:r>
    </w:p>
    <w:p w14:paraId="3E1DFA07">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w:t>
      </w:r>
      <w:r>
        <w:rPr>
          <w:rFonts w:ascii="Times New Roman" w:hAnsi="Times New Roman" w:eastAsia="仿宋_GB2312"/>
          <w:color w:val="000000"/>
          <w:sz w:val="32"/>
          <w:szCs w:val="32"/>
        </w:rPr>
        <w:t>.关于“司法责任制落实不到位”问题的整改。</w:t>
      </w:r>
    </w:p>
    <w:p w14:paraId="0B0A260E">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目前已经完成的整改内容：一是强化入额院领导办案责任。</w:t>
      </w:r>
      <w:r>
        <w:rPr>
          <w:rFonts w:ascii="Times New Roman" w:hAnsi="Times New Roman" w:eastAsia="仿宋_GB2312"/>
          <w:color w:val="000000"/>
          <w:sz w:val="32"/>
          <w:szCs w:val="32"/>
        </w:rPr>
        <w:t>严格执行《常州市检察机关入额院领导办理案件实施意见》，系统细化重点案件标准、办案规范、督导机制和考评指标，构建刚性制度约束体系。深化“常检雁”检察长办案研判平台实战效能，实现亲历性办案全程动态监督。发布第28期入额院领导办案典型案例，为类案办理提供专业指引</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2025年，全市入额院领导</w:t>
      </w:r>
      <w:r>
        <w:rPr>
          <w:rFonts w:hint="eastAsia" w:ascii="Times New Roman" w:hAnsi="Times New Roman" w:eastAsia="仿宋_GB2312"/>
          <w:color w:val="000000"/>
          <w:sz w:val="32"/>
          <w:szCs w:val="32"/>
        </w:rPr>
        <w:t>共办理各类</w:t>
      </w:r>
      <w:r>
        <w:rPr>
          <w:rFonts w:ascii="Times New Roman" w:hAnsi="Times New Roman" w:eastAsia="仿宋_GB2312"/>
          <w:color w:val="000000"/>
          <w:sz w:val="32"/>
          <w:szCs w:val="32"/>
        </w:rPr>
        <w:t>案件901件，充分发挥“头雁效应”。</w:t>
      </w:r>
      <w:r>
        <w:rPr>
          <w:rFonts w:ascii="Times New Roman" w:hAnsi="Times New Roman" w:eastAsia="仿宋_GB2312"/>
          <w:b/>
          <w:bCs/>
          <w:color w:val="000000"/>
          <w:sz w:val="32"/>
          <w:szCs w:val="32"/>
        </w:rPr>
        <w:t>二是夯实司法责任制激发履职担当。</w:t>
      </w:r>
      <w:r>
        <w:rPr>
          <w:rFonts w:ascii="Times New Roman" w:hAnsi="Times New Roman" w:eastAsia="仿宋_GB2312"/>
          <w:color w:val="000000"/>
          <w:sz w:val="32"/>
          <w:szCs w:val="32"/>
        </w:rPr>
        <w:t>以落实司法责任制为核心，通过系统调研与制度创新双轮驱动，着力提升队伍履职效能与担当意识。通过全覆盖履职能力评估与谈心谈话，形成队伍“履职画像”，为优化人员配置提供科学决策支撑；同步紧扣上级考核导向，出台《常州市人民检察院内设机构年度考核办法（试行）》《检察人员考核办法（试行）》，实现部门考核与个人评价深度融合、业务质效与担当作为双向挂钩，切实推动“考事”与“考人”有机统一，有效激活干部队伍争先创优的内生动力。</w:t>
      </w:r>
      <w:r>
        <w:rPr>
          <w:rFonts w:ascii="Times New Roman" w:hAnsi="Times New Roman" w:eastAsia="仿宋_GB2312"/>
          <w:b/>
          <w:bCs/>
          <w:color w:val="000000"/>
          <w:sz w:val="32"/>
          <w:szCs w:val="32"/>
        </w:rPr>
        <w:t>三是深化特邀检察官助理机制。</w:t>
      </w:r>
      <w:r>
        <w:rPr>
          <w:rFonts w:ascii="Times New Roman" w:hAnsi="Times New Roman" w:eastAsia="仿宋_GB2312"/>
          <w:color w:val="000000"/>
          <w:sz w:val="32"/>
          <w:szCs w:val="32"/>
        </w:rPr>
        <w:t>完成业务部门特邀检察官助理聘任意向征集与动态调整，新聘13名专业人才充实队伍。充分依托特邀检察官助理的专业优势，在案件调查取证、专业咨询、出庭支持等环节提供“智库”支撑。2025年以来，特邀检察官助理辅助检察公益诉讼办案20余次。</w:t>
      </w:r>
      <w:r>
        <w:rPr>
          <w:rFonts w:ascii="Times New Roman" w:hAnsi="Times New Roman" w:eastAsia="仿宋_GB2312"/>
          <w:b/>
          <w:bCs/>
          <w:color w:val="000000"/>
          <w:sz w:val="32"/>
          <w:szCs w:val="32"/>
        </w:rPr>
        <w:t>四是锻造高素质检察队伍。</w:t>
      </w:r>
      <w:r>
        <w:rPr>
          <w:rFonts w:ascii="Times New Roman" w:hAnsi="Times New Roman" w:eastAsia="仿宋_GB2312"/>
          <w:color w:val="000000"/>
          <w:sz w:val="32"/>
          <w:szCs w:val="32"/>
        </w:rPr>
        <w:t>举办市首届检察官律师模拟庭审大赛</w:t>
      </w:r>
      <w:r>
        <w:rPr>
          <w:rFonts w:hint="eastAsia" w:ascii="Times New Roman" w:hAnsi="Times New Roman" w:eastAsia="仿宋_GB2312"/>
          <w:color w:val="000000"/>
          <w:sz w:val="32"/>
          <w:szCs w:val="32"/>
        </w:rPr>
        <w:t>和多场业务</w:t>
      </w:r>
      <w:r>
        <w:rPr>
          <w:rFonts w:ascii="Times New Roman" w:hAnsi="Times New Roman" w:eastAsia="仿宋_GB2312"/>
          <w:color w:val="000000"/>
          <w:sz w:val="32"/>
          <w:szCs w:val="32"/>
        </w:rPr>
        <w:t>技能竞赛，以赛促学强本领</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深化检校合作，与华东政法大学共建教授工作站，联合举办“新型腐败、隐性腐败犯罪刑法应对”学术研讨会</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落实最高检庭审评议工作要求，配合最高检、</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在金坛、武进等地开展庭审观摩指导，1件案例获评全国“优秀公诉庭”。</w:t>
      </w:r>
      <w:r>
        <w:rPr>
          <w:rFonts w:hint="eastAsia" w:ascii="Times New Roman" w:hAnsi="Times New Roman" w:eastAsia="仿宋_GB2312"/>
          <w:color w:val="000000"/>
          <w:sz w:val="32"/>
          <w:szCs w:val="32"/>
        </w:rPr>
        <w:t>119人入选全国、全省检察人才库，</w:t>
      </w:r>
      <w:r>
        <w:rPr>
          <w:rFonts w:ascii="Times New Roman" w:hAnsi="Times New Roman" w:eastAsia="仿宋_GB2312"/>
          <w:color w:val="000000"/>
          <w:sz w:val="32"/>
          <w:szCs w:val="32"/>
        </w:rPr>
        <w:t>3人获评全市优化营商环境工作先进个人。</w:t>
      </w:r>
      <w:r>
        <w:rPr>
          <w:rFonts w:ascii="Times New Roman" w:hAnsi="Times New Roman" w:eastAsia="仿宋_GB2312"/>
          <w:b/>
          <w:bCs/>
          <w:color w:val="000000"/>
          <w:sz w:val="32"/>
          <w:szCs w:val="32"/>
        </w:rPr>
        <w:t>五是完善员额管理机制。</w:t>
      </w:r>
      <w:r>
        <w:rPr>
          <w:rFonts w:ascii="Times New Roman" w:hAnsi="Times New Roman" w:eastAsia="仿宋_GB2312"/>
          <w:color w:val="000000"/>
          <w:sz w:val="32"/>
          <w:szCs w:val="32"/>
        </w:rPr>
        <w:t>2025年，规范实施员额退出机制，13名检察官完成退出程序。顺利完成年度检察官初任遴选工作，1名检察官至基层院入额。</w:t>
      </w:r>
    </w:p>
    <w:p w14:paraId="490DD957">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下一步推进举措：</w:t>
      </w:r>
      <w:r>
        <w:rPr>
          <w:rFonts w:ascii="Times New Roman" w:hAnsi="Times New Roman" w:eastAsia="仿宋_GB2312"/>
          <w:color w:val="000000"/>
          <w:sz w:val="32"/>
          <w:szCs w:val="32"/>
        </w:rPr>
        <w:t>充分发挥公务员平时考核和年度考核、检察人员绩效考核正面引</w:t>
      </w:r>
      <w:r>
        <w:rPr>
          <w:rFonts w:hint="eastAsia" w:ascii="Times New Roman" w:hAnsi="Times New Roman" w:eastAsia="仿宋_GB2312"/>
          <w:color w:val="000000"/>
          <w:sz w:val="32"/>
          <w:szCs w:val="32"/>
        </w:rPr>
        <w:t>导和</w:t>
      </w:r>
      <w:r>
        <w:rPr>
          <w:rFonts w:ascii="Times New Roman" w:hAnsi="Times New Roman" w:eastAsia="仿宋_GB2312"/>
          <w:color w:val="000000"/>
          <w:sz w:val="32"/>
          <w:szCs w:val="32"/>
        </w:rPr>
        <w:t>激励作用，切实提升部门负责人履职尽责、担当作为的责任感和使命感。加大特邀检察官助理参与检察办案过程、员额检察官参与行政机关执法检查过程力度，实现检察办案与行政执法互相促进；常态化开展检察官至基层院初任遴选工作，每年第四季度及时梳理队伍现状，科学规划下年度至基层入额和逐级遴选工作计划，向</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和组织部门及时申报，并根据</w:t>
      </w:r>
      <w:r>
        <w:rPr>
          <w:rFonts w:hint="eastAsia" w:ascii="Times New Roman" w:hAnsi="Times New Roman" w:eastAsia="仿宋_GB2312"/>
          <w:color w:val="000000"/>
          <w:sz w:val="32"/>
          <w:szCs w:val="32"/>
        </w:rPr>
        <w:t>省检察院</w:t>
      </w:r>
      <w:r>
        <w:rPr>
          <w:rFonts w:ascii="Times New Roman" w:hAnsi="Times New Roman" w:eastAsia="仿宋_GB2312"/>
          <w:color w:val="000000"/>
          <w:sz w:val="32"/>
          <w:szCs w:val="32"/>
        </w:rPr>
        <w:t>统一部署规范组织开展，落实司法改革检察官队伍建设相关要求。</w:t>
      </w:r>
    </w:p>
    <w:p w14:paraId="065038DA">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.关于“履行协管职责有欠缺”问题的整改。</w:t>
      </w:r>
    </w:p>
    <w:p w14:paraId="1D34B1B1">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目前已经完成的整改内容：一是强化干部队伍建设与组织管理。</w:t>
      </w:r>
      <w:r>
        <w:rPr>
          <w:rFonts w:ascii="Times New Roman" w:hAnsi="Times New Roman" w:eastAsia="仿宋_GB2312"/>
          <w:color w:val="000000"/>
          <w:sz w:val="32"/>
          <w:szCs w:val="32"/>
        </w:rPr>
        <w:t>研究制定新一轮年轻干部培养使用计划，选派2名年轻干部参与“351”工程基层挂职锻炼；充分履行协管职责，调整配备基层检察院领导班子成员10人次，其中新配备党组副书记2人、党外领导干部1人。</w:t>
      </w:r>
      <w:r>
        <w:rPr>
          <w:rFonts w:ascii="Times New Roman" w:hAnsi="Times New Roman" w:eastAsia="仿宋_GB2312"/>
          <w:b/>
          <w:bCs/>
          <w:color w:val="000000"/>
          <w:sz w:val="32"/>
          <w:szCs w:val="32"/>
        </w:rPr>
        <w:t>二是深化司法责任落实与日常监督。</w:t>
      </w:r>
      <w:r>
        <w:rPr>
          <w:rFonts w:ascii="Times New Roman" w:hAnsi="Times New Roman" w:eastAsia="仿宋_GB2312"/>
          <w:color w:val="000000"/>
          <w:sz w:val="32"/>
          <w:szCs w:val="32"/>
        </w:rPr>
        <w:t>坚持从严治检，组织干警研学司法责任追究条例、最高检政策问答及配套意见，加强对基层院司法办案的常态化监督。依托个案督察、执法专项督察，全面复盘历年办案工作，深挖司法履职短板，建立问题台账并督促整改；抓实日常教育监管，常态化开展履职谈心谈话、廉洁家访，从严规范“三个规定”填报管理，</w:t>
      </w:r>
      <w:r>
        <w:rPr>
          <w:rFonts w:hint="eastAsia" w:ascii="Times New Roman" w:hAnsi="Times New Roman" w:eastAsia="仿宋_GB2312"/>
          <w:color w:val="000000"/>
          <w:sz w:val="32"/>
          <w:szCs w:val="32"/>
        </w:rPr>
        <w:t>开展专项和个案督察，</w:t>
      </w:r>
      <w:r>
        <w:rPr>
          <w:rFonts w:ascii="Times New Roman" w:hAnsi="Times New Roman" w:eastAsia="仿宋_GB2312"/>
          <w:color w:val="000000"/>
          <w:sz w:val="32"/>
          <w:szCs w:val="32"/>
        </w:rPr>
        <w:t>切实筑牢司法廉洁防线。</w:t>
      </w:r>
    </w:p>
    <w:p w14:paraId="5DCBFCD1">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下一步推进举措：</w:t>
      </w:r>
      <w:r>
        <w:rPr>
          <w:rFonts w:ascii="Times New Roman" w:hAnsi="Times New Roman" w:eastAsia="仿宋_GB2312"/>
          <w:color w:val="000000"/>
          <w:sz w:val="32"/>
          <w:szCs w:val="32"/>
        </w:rPr>
        <w:t>常态化梳理全市两级院领导班子配备情况，结合“青雁工程”，同向发力基层院班子建设和</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年轻干部培养，积极发挥干部协管职能，争取地方党委和组织部门支持，结合领导干部换届、年轻干部培养使用等</w:t>
      </w:r>
      <w:r>
        <w:rPr>
          <w:rFonts w:hint="eastAsia" w:ascii="Times New Roman" w:hAnsi="Times New Roman" w:eastAsia="仿宋_GB2312"/>
          <w:color w:val="000000"/>
          <w:sz w:val="32"/>
          <w:szCs w:val="32"/>
          <w:lang w:eastAsia="zh-CN"/>
        </w:rPr>
        <w:t>工作</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加快配备基层院“80后”检察长，落实党组副书记</w:t>
      </w:r>
      <w:r>
        <w:rPr>
          <w:rFonts w:ascii="Times New Roman" w:hAnsi="Times New Roman" w:eastAsia="仿宋_GB2312"/>
          <w:color w:val="000000"/>
          <w:sz w:val="32"/>
          <w:szCs w:val="32"/>
        </w:rPr>
        <w:t>配备全覆盖</w:t>
      </w:r>
      <w:r>
        <w:rPr>
          <w:rFonts w:hint="eastAsia" w:ascii="Times New Roman" w:hAnsi="Times New Roman" w:eastAsia="仿宋_GB2312"/>
          <w:color w:val="000000"/>
          <w:sz w:val="32"/>
          <w:szCs w:val="32"/>
        </w:rPr>
        <w:t>要求。</w:t>
      </w:r>
      <w:r>
        <w:rPr>
          <w:rFonts w:ascii="Times New Roman" w:hAnsi="Times New Roman" w:eastAsia="仿宋_GB2312"/>
          <w:color w:val="000000"/>
          <w:sz w:val="32"/>
          <w:szCs w:val="32"/>
        </w:rPr>
        <w:t>常态化梳理年度交流任职名单，制定交流调整方案，与政法委、地方党委组织部门沟通，采用跨行政区划交流、与地方行政部门交流、退出领导岗位等方式，及时调整解决长期同一岗位任职问题。</w:t>
      </w:r>
    </w:p>
    <w:p w14:paraId="64936B7D">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4</w:t>
      </w:r>
      <w:r>
        <w:rPr>
          <w:rFonts w:ascii="Times New Roman" w:hAnsi="Times New Roman" w:eastAsia="仿宋_GB2312"/>
          <w:color w:val="000000"/>
          <w:sz w:val="32"/>
          <w:szCs w:val="32"/>
        </w:rPr>
        <w:t>.关于“落实主体责任有差距”问题的整改。</w:t>
      </w:r>
    </w:p>
    <w:p w14:paraId="3B3A90E9">
      <w:pPr>
        <w:overflowPunct w:val="0"/>
        <w:snapToGrid w:val="0"/>
        <w:spacing w:line="58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w:t>
      </w:r>
      <w:r>
        <w:rPr>
          <w:rFonts w:ascii="Times New Roman" w:hAnsi="Times New Roman" w:eastAsia="仿宋_GB2312"/>
          <w:b/>
          <w:bCs/>
          <w:color w:val="000000"/>
          <w:sz w:val="32"/>
          <w:szCs w:val="32"/>
        </w:rPr>
        <w:t>目前已经完成的整改内容：一是强化作风规范化建设与廉政教育。</w:t>
      </w:r>
      <w:r>
        <w:rPr>
          <w:rFonts w:ascii="Times New Roman" w:hAnsi="Times New Roman" w:eastAsia="仿宋_GB2312"/>
          <w:color w:val="000000"/>
          <w:sz w:val="32"/>
          <w:szCs w:val="32"/>
        </w:rPr>
        <w:t>制定《关于进一步加强</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机关作风规范化建设的实施意见》，推动作风建设全面进步；持续巩固中央八项规定精神成果，各党支部开展警示教育9次，组织《风范》《信仰 作风之源》等党性教育电视片进支部。</w:t>
      </w:r>
      <w:r>
        <w:rPr>
          <w:rFonts w:hint="eastAsia" w:ascii="Times New Roman" w:hAnsi="Times New Roman" w:eastAsia="仿宋_GB2312"/>
          <w:color w:val="000000"/>
          <w:sz w:val="32"/>
          <w:szCs w:val="32"/>
        </w:rPr>
        <w:t>“一把手”带头讲党课</w:t>
      </w:r>
      <w:r>
        <w:rPr>
          <w:rFonts w:ascii="Times New Roman" w:hAnsi="Times New Roman" w:eastAsia="仿宋_GB2312"/>
          <w:color w:val="000000"/>
          <w:sz w:val="32"/>
          <w:szCs w:val="32"/>
        </w:rPr>
        <w:t>。组织干部参观廉政教育基地和革命纪念馆，举办“清风盈检 廉洁传家”活动，邀请干警家属参与廉洁教育。常态化开展谈心谈话、廉洁家访与节前专题教育，强化纪律意识；召开警示教育大会，剖析</w:t>
      </w:r>
      <w:r>
        <w:rPr>
          <w:rFonts w:hint="eastAsia" w:ascii="Times New Roman" w:hAnsi="Times New Roman" w:eastAsia="仿宋_GB2312"/>
          <w:color w:val="000000"/>
          <w:sz w:val="32"/>
          <w:szCs w:val="32"/>
        </w:rPr>
        <w:t>违反中央八项规定精神典型</w:t>
      </w:r>
      <w:r>
        <w:rPr>
          <w:rFonts w:ascii="Times New Roman" w:hAnsi="Times New Roman" w:eastAsia="仿宋_GB2312"/>
          <w:color w:val="000000"/>
          <w:sz w:val="32"/>
          <w:szCs w:val="32"/>
        </w:rPr>
        <w:t>案例，以案明纪筑牢防线。</w:t>
      </w:r>
      <w:r>
        <w:rPr>
          <w:rFonts w:ascii="Times New Roman" w:hAnsi="Times New Roman" w:eastAsia="仿宋_GB2312"/>
          <w:b/>
          <w:bCs/>
          <w:color w:val="000000"/>
          <w:sz w:val="32"/>
          <w:szCs w:val="32"/>
        </w:rPr>
        <w:t>二是深化干部管理与思想引领。</w:t>
      </w:r>
      <w:r>
        <w:rPr>
          <w:rFonts w:ascii="Times New Roman" w:hAnsi="Times New Roman" w:eastAsia="仿宋_GB2312"/>
          <w:color w:val="000000"/>
          <w:sz w:val="32"/>
          <w:szCs w:val="32"/>
        </w:rPr>
        <w:t>常态化开展检察长与基层院挂职干部、新提拔干部等任职谈话，纳入周工作安排确保长效；实施导师制、“新禾”计划、青年风采展示等机制，多维度了解干警思想动态，扎实做好</w:t>
      </w:r>
      <w:r>
        <w:rPr>
          <w:rFonts w:hint="eastAsia" w:ascii="Times New Roman" w:hAnsi="Times New Roman" w:eastAsia="仿宋_GB2312"/>
          <w:color w:val="000000"/>
          <w:sz w:val="32"/>
          <w:szCs w:val="32"/>
        </w:rPr>
        <w:t>思想政治工作</w:t>
      </w:r>
      <w:r>
        <w:rPr>
          <w:rFonts w:ascii="Times New Roman" w:hAnsi="Times New Roman" w:eastAsia="仿宋_GB2312"/>
          <w:color w:val="000000"/>
          <w:sz w:val="32"/>
          <w:szCs w:val="32"/>
        </w:rPr>
        <w:t>。</w:t>
      </w:r>
    </w:p>
    <w:p w14:paraId="554146B1">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下一步推进举措：</w:t>
      </w:r>
      <w:r>
        <w:rPr>
          <w:rFonts w:ascii="Times New Roman" w:hAnsi="Times New Roman" w:eastAsia="仿宋_GB2312"/>
          <w:color w:val="000000"/>
          <w:sz w:val="32"/>
          <w:szCs w:val="32"/>
        </w:rPr>
        <w:t>建立分级谈心机制，检察长适时集中开展1次与年轻干警谈心谈话，分管领导跟进日常交流；在入额遴选、职级晋升等重要节点常态化开展谈心谈话，精准回应干警诉求、强化激励引导。</w:t>
      </w:r>
    </w:p>
    <w:p w14:paraId="4A1C3F9E">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.关于“干部培养统筹性系统性不强”问题的整改。</w:t>
      </w:r>
    </w:p>
    <w:p w14:paraId="703DF600">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目前已经完成</w:t>
      </w:r>
      <w:r>
        <w:rPr>
          <w:rFonts w:hint="eastAsia" w:ascii="Times New Roman" w:hAnsi="Times New Roman" w:eastAsia="仿宋_GB2312"/>
          <w:b/>
          <w:bCs/>
          <w:color w:val="000000"/>
          <w:sz w:val="32"/>
          <w:szCs w:val="32"/>
        </w:rPr>
        <w:t>的</w:t>
      </w:r>
      <w:r>
        <w:rPr>
          <w:rFonts w:ascii="Times New Roman" w:hAnsi="Times New Roman" w:eastAsia="仿宋_GB2312"/>
          <w:b/>
          <w:bCs/>
          <w:color w:val="000000"/>
          <w:sz w:val="32"/>
          <w:szCs w:val="32"/>
        </w:rPr>
        <w:t>整改内容：</w:t>
      </w:r>
      <w:r>
        <w:rPr>
          <w:rFonts w:ascii="Times New Roman" w:hAnsi="Times New Roman" w:eastAsia="仿宋_GB2312"/>
          <w:color w:val="000000"/>
          <w:sz w:val="32"/>
          <w:szCs w:val="32"/>
        </w:rPr>
        <w:t>强化干部统筹谋划，优化队伍结构，组织开展年轻干部培养工作专题调研。研究制定新一轮年轻干部培养使用计划，动态调整“青雁工程”优秀年轻干部名单。加大优秀年轻干部选拔任用力度，新提拔“95 后”中层副职1名。截至目前，</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机关共有“85 后”中层正职6名、“95 后”科级干部6名，确定“90 后”中层正职重点培养对象2名。</w:t>
      </w:r>
    </w:p>
    <w:p w14:paraId="12154B49">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下一步推进举措：</w:t>
      </w:r>
      <w:r>
        <w:rPr>
          <w:rFonts w:ascii="Times New Roman" w:hAnsi="Times New Roman" w:eastAsia="仿宋_GB2312"/>
          <w:color w:val="000000"/>
          <w:sz w:val="32"/>
          <w:szCs w:val="32"/>
        </w:rPr>
        <w:t>持续深化“青雁工程”“常检优才”计划，细化年轻干部“一人一策”培养措施，针对性储备选拔90后中层正职后备人选；结合岗位需求适时推进年轻干部轮岗锻炼，进一步优化中层干部年龄结构与梯队配置，推动干部培养的统筹性和系统性提升。</w:t>
      </w:r>
    </w:p>
    <w:p w14:paraId="63C88B56">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6</w:t>
      </w:r>
      <w:r>
        <w:rPr>
          <w:rFonts w:ascii="Times New Roman" w:hAnsi="Times New Roman" w:eastAsia="仿宋_GB2312"/>
          <w:color w:val="000000"/>
          <w:sz w:val="32"/>
          <w:szCs w:val="32"/>
        </w:rPr>
        <w:t>.关于“干部交流渠道不畅”问题的整改。</w:t>
      </w:r>
    </w:p>
    <w:p w14:paraId="4ACF4D5B">
      <w:pPr>
        <w:overflowPunct w:val="0"/>
        <w:snapToGrid w:val="0"/>
        <w:spacing w:line="58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w:t>
      </w:r>
      <w:r>
        <w:rPr>
          <w:rFonts w:ascii="Times New Roman" w:hAnsi="Times New Roman" w:eastAsia="仿宋_GB2312"/>
          <w:b/>
          <w:bCs/>
          <w:color w:val="000000"/>
          <w:sz w:val="32"/>
          <w:szCs w:val="32"/>
        </w:rPr>
        <w:t>目前已经完成</w:t>
      </w:r>
      <w:r>
        <w:rPr>
          <w:rFonts w:hint="eastAsia" w:ascii="Times New Roman" w:hAnsi="Times New Roman" w:eastAsia="仿宋_GB2312"/>
          <w:b/>
          <w:bCs/>
          <w:color w:val="000000"/>
          <w:sz w:val="32"/>
          <w:szCs w:val="32"/>
        </w:rPr>
        <w:t>的</w:t>
      </w:r>
      <w:r>
        <w:rPr>
          <w:rFonts w:ascii="Times New Roman" w:hAnsi="Times New Roman" w:eastAsia="仿宋_GB2312"/>
          <w:b/>
          <w:bCs/>
          <w:color w:val="000000"/>
          <w:sz w:val="32"/>
          <w:szCs w:val="32"/>
        </w:rPr>
        <w:t>整改内容：</w:t>
      </w:r>
      <w:r>
        <w:rPr>
          <w:rFonts w:ascii="Times New Roman" w:hAnsi="Times New Roman" w:eastAsia="仿宋_GB2312"/>
          <w:color w:val="000000"/>
          <w:sz w:val="32"/>
          <w:szCs w:val="32"/>
        </w:rPr>
        <w:t>推进干部横向、纵向交流，充分激发队伍活力。选派2名优秀干部参加全市年轻干部“351”培养工程，赴基层院挂职；安排</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2名新入额人员到基层院履职入额。从其他政法、行政单位转任干部6名，选配系统外党外领导干部1人，夯实人才队伍根基。常态化开展内部岗位交流，</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机关15名干警调整岗位，天目湖院1名干警上调</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使用；选派</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8名新进干警到天目湖院开展一年半轮岗锻炼。此外，天目湖院另有3名干警开展驻监岗位交流。</w:t>
      </w:r>
    </w:p>
    <w:p w14:paraId="31136065">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下一步推进举措：</w:t>
      </w:r>
      <w:r>
        <w:rPr>
          <w:rFonts w:ascii="Times New Roman" w:hAnsi="Times New Roman" w:eastAsia="仿宋_GB2312"/>
          <w:color w:val="000000"/>
          <w:sz w:val="32"/>
          <w:szCs w:val="32"/>
        </w:rPr>
        <w:t>主动对接市级政法、行政等相关单位，洽谈干部互派、跟班学习等合作模式；拓展</w:t>
      </w:r>
      <w:r>
        <w:rPr>
          <w:rFonts w:hint="eastAsia" w:ascii="Times New Roman" w:hAnsi="Times New Roman" w:eastAsia="仿宋_GB2312"/>
          <w:color w:val="000000"/>
          <w:sz w:val="32"/>
          <w:szCs w:val="32"/>
        </w:rPr>
        <w:t>市检察院</w:t>
      </w:r>
      <w:r>
        <w:rPr>
          <w:rFonts w:ascii="Times New Roman" w:hAnsi="Times New Roman" w:eastAsia="仿宋_GB2312"/>
          <w:color w:val="000000"/>
          <w:sz w:val="32"/>
          <w:szCs w:val="32"/>
        </w:rPr>
        <w:t>与基层院双向交流广度，新增跨部门轮岗、专项任务协作等交流场景，提升干部多岗位历练的实效；深化与市委组织部门的协同联动，争取将检察干部纳入地方跨部门人才交流计划，构建常态化交流格局。</w:t>
      </w:r>
    </w:p>
    <w:p w14:paraId="3B04BB1D">
      <w:pPr>
        <w:overflowPunct w:val="0"/>
        <w:snapToGrid w:val="0"/>
        <w:spacing w:line="58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7</w:t>
      </w:r>
      <w:r>
        <w:rPr>
          <w:rFonts w:ascii="Times New Roman" w:hAnsi="Times New Roman" w:eastAsia="仿宋_GB2312"/>
          <w:color w:val="000000"/>
          <w:sz w:val="32"/>
          <w:szCs w:val="32"/>
        </w:rPr>
        <w:t>.关于“专业人才紧缺”问题的整改。</w:t>
      </w:r>
    </w:p>
    <w:p w14:paraId="59935CF5">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目前已经完成</w:t>
      </w:r>
      <w:r>
        <w:rPr>
          <w:rFonts w:hint="eastAsia" w:ascii="Times New Roman" w:hAnsi="Times New Roman" w:eastAsia="仿宋_GB2312"/>
          <w:b/>
          <w:bCs/>
          <w:color w:val="000000"/>
          <w:sz w:val="32"/>
          <w:szCs w:val="32"/>
        </w:rPr>
        <w:t>的</w:t>
      </w:r>
      <w:r>
        <w:rPr>
          <w:rFonts w:ascii="Times New Roman" w:hAnsi="Times New Roman" w:eastAsia="仿宋_GB2312"/>
          <w:b/>
          <w:bCs/>
          <w:color w:val="000000"/>
          <w:sz w:val="32"/>
          <w:szCs w:val="32"/>
        </w:rPr>
        <w:t>整改内容：一是强化人才培养与队伍建设。</w:t>
      </w:r>
      <w:r>
        <w:rPr>
          <w:rFonts w:ascii="Times New Roman" w:hAnsi="Times New Roman" w:eastAsia="仿宋_GB2312"/>
          <w:color w:val="000000"/>
          <w:sz w:val="32"/>
          <w:szCs w:val="32"/>
        </w:rPr>
        <w:t>开展“常检优才”半年推进及全年完成情况督办，扎实落实检察业务专家“一人一策”跟踪培养，配合做好全省业务专家年度述职工作。落实《全省检察人才管理办法》《常州市检察机关“常检优才”人才培养实施意见（2024-2026）》，组织首批全省检察人才48人参加全市研修班，积极申报并入选全省复合人才6人、基础人才25人，推动人才梯次培养，提升专业素养。</w:t>
      </w:r>
      <w:r>
        <w:rPr>
          <w:rFonts w:ascii="Times New Roman" w:hAnsi="Times New Roman" w:eastAsia="仿宋_GB2312"/>
          <w:b/>
          <w:bCs/>
          <w:color w:val="000000"/>
          <w:sz w:val="32"/>
          <w:szCs w:val="32"/>
        </w:rPr>
        <w:t>二是优化队伍结构与管理制度。</w:t>
      </w:r>
      <w:r>
        <w:rPr>
          <w:rFonts w:ascii="Times New Roman" w:hAnsi="Times New Roman" w:eastAsia="仿宋_GB2312"/>
          <w:color w:val="000000"/>
          <w:sz w:val="32"/>
          <w:szCs w:val="32"/>
        </w:rPr>
        <w:t>承办全省检察官助理队伍建设调研座谈会（苏南片），制定分阶段管理方案，完善检察官助理“积分制”管理办法，强化科学管理。新招录民商法、知识产权法等专业人员8名，补充专业人才储备；完成编外人员职数申报，规范聘用制书记员、辅警管理，夯实队伍基础保障。</w:t>
      </w:r>
    </w:p>
    <w:p w14:paraId="7F41F89F">
      <w:pPr>
        <w:overflowPunct w:val="0"/>
        <w:snapToGrid w:val="0"/>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下一步推进举措：</w:t>
      </w:r>
      <w:r>
        <w:rPr>
          <w:rFonts w:ascii="Times New Roman" w:hAnsi="Times New Roman" w:eastAsia="仿宋_GB2312"/>
          <w:color w:val="000000"/>
          <w:sz w:val="32"/>
          <w:szCs w:val="32"/>
        </w:rPr>
        <w:t>针对全国检察业务专家培育，对接上级院重大案件协作、专项业务培训等资源，为省级业务专家制定阶段性能力提升计划，夯实争创基础；优化现有业务竞赛激励机制，将竞赛表现与干部评优评先、重点任务选派直接挂钩，通过优秀选手经验分享会等形式，增强年轻干部参赛获得感；聚焦重点业务急需专业方向，采取“定向招录+内部轮岗实训”双路径，一方面积极对接高校、政法单位拓宽精准引才渠道，另一方面选拔骨干干警跨领域历练，缓解专业人才供需矛盾。</w:t>
      </w:r>
    </w:p>
    <w:p w14:paraId="5DA50F09">
      <w:pPr>
        <w:overflowPunct w:val="0"/>
        <w:adjustRightInd w:val="0"/>
        <w:snapToGrid w:val="0"/>
        <w:spacing w:line="580" w:lineRule="exact"/>
        <w:ind w:firstLine="640" w:firstLineChars="200"/>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8</w:t>
      </w:r>
      <w:r>
        <w:rPr>
          <w:rFonts w:ascii="Times New Roman" w:hAnsi="Times New Roman" w:eastAsia="仿宋_GB2312"/>
          <w:bCs/>
          <w:color w:val="000000"/>
          <w:sz w:val="32"/>
          <w:szCs w:val="32"/>
          <w:highlight w:val="none"/>
        </w:rPr>
        <w:t>.关于“巡察问题整改不够彻底”问题的整改。</w:t>
      </w:r>
    </w:p>
    <w:p w14:paraId="41C02C71">
      <w:pPr>
        <w:overflowPunct w:val="0"/>
        <w:adjustRightInd w:val="0"/>
        <w:snapToGrid w:val="0"/>
        <w:spacing w:line="580" w:lineRule="exact"/>
        <w:ind w:firstLine="643" w:firstLineChars="200"/>
        <w:rPr>
          <w:rFonts w:ascii="Times New Roman" w:hAnsi="Times New Roman" w:eastAsia="仿宋_GB2312"/>
          <w:bCs/>
          <w:color w:val="000000"/>
          <w:sz w:val="32"/>
          <w:szCs w:val="32"/>
        </w:rPr>
      </w:pPr>
      <w:r>
        <w:rPr>
          <w:rFonts w:hint="eastAsia" w:ascii="Times New Roman" w:hAnsi="Times New Roman" w:eastAsia="仿宋_GB2312"/>
          <w:b/>
          <w:color w:val="000000"/>
          <w:sz w:val="32"/>
          <w:szCs w:val="32"/>
        </w:rPr>
        <w:t>目前已经完成的整改内容：</w:t>
      </w:r>
      <w:r>
        <w:rPr>
          <w:rFonts w:ascii="Times New Roman" w:hAnsi="Times New Roman" w:eastAsia="仿宋_GB2312"/>
          <w:b/>
          <w:color w:val="000000"/>
          <w:sz w:val="32"/>
          <w:szCs w:val="32"/>
        </w:rPr>
        <w:t>一是严格员额动态管理。</w:t>
      </w:r>
      <w:r>
        <w:rPr>
          <w:rFonts w:ascii="Times New Roman" w:hAnsi="Times New Roman" w:eastAsia="仿宋_GB2312"/>
          <w:bCs/>
          <w:color w:val="000000"/>
          <w:sz w:val="32"/>
          <w:szCs w:val="32"/>
        </w:rPr>
        <w:t>严格对照《常州市检察机关检察官员额退出实施细则》，常态化推进员额动态调整，2025年以来累计规范办理</w:t>
      </w:r>
      <w:r>
        <w:rPr>
          <w:rFonts w:hint="default" w:ascii="Times New Roman" w:hAnsi="Times New Roman" w:eastAsia="仿宋_GB2312"/>
          <w:bCs/>
          <w:color w:val="000000"/>
          <w:sz w:val="32"/>
          <w:szCs w:val="32"/>
          <w:lang w:val="en"/>
        </w:rPr>
        <w:t>1</w:t>
      </w:r>
      <w:r>
        <w:rPr>
          <w:rFonts w:hint="default" w:ascii="Times New Roman" w:hAnsi="Times New Roman" w:eastAsia="仿宋_GB2312"/>
          <w:bCs/>
          <w:color w:val="000000"/>
          <w:sz w:val="32"/>
          <w:szCs w:val="32"/>
          <w:lang w:val="en"/>
        </w:rPr>
        <w:t>3</w:t>
      </w:r>
      <w:r>
        <w:rPr>
          <w:rFonts w:ascii="Times New Roman" w:hAnsi="Times New Roman" w:eastAsia="仿宋_GB2312"/>
          <w:bCs/>
          <w:color w:val="000000"/>
          <w:sz w:val="32"/>
          <w:szCs w:val="32"/>
        </w:rPr>
        <w:t>名检察官</w:t>
      </w:r>
      <w:r>
        <w:rPr>
          <w:rFonts w:hint="eastAsia" w:ascii="Times New Roman" w:hAnsi="Times New Roman" w:eastAsia="仿宋_GB2312"/>
          <w:bCs/>
          <w:color w:val="000000"/>
          <w:sz w:val="32"/>
          <w:szCs w:val="32"/>
          <w:lang w:val="en-US" w:eastAsia="zh-CN"/>
        </w:rPr>
        <w:t>完成退出程序</w:t>
      </w:r>
      <w:r>
        <w:rPr>
          <w:rFonts w:ascii="Times New Roman" w:hAnsi="Times New Roman" w:eastAsia="仿宋_GB2312"/>
          <w:bCs/>
          <w:color w:val="000000"/>
          <w:sz w:val="32"/>
          <w:szCs w:val="32"/>
        </w:rPr>
        <w:t>。聚焦年轻干警成长，通过“全科制”培养机制锤炼检察官助理队伍，对表现突出者通报表彰，9名“90后”干警晋升职级，12名“95后”干警获评年度考核优秀或“季度之星”。年度检察官初任遴选工作顺利完成，1名下沉基层入额，新一轮遴选正有序开展。</w:t>
      </w:r>
      <w:r>
        <w:rPr>
          <w:rFonts w:ascii="Times New Roman" w:hAnsi="Times New Roman" w:eastAsia="仿宋_GB2312"/>
          <w:b/>
          <w:color w:val="000000"/>
          <w:sz w:val="32"/>
          <w:szCs w:val="32"/>
        </w:rPr>
        <w:t>二是化解历史资产问题。</w:t>
      </w:r>
      <w:r>
        <w:rPr>
          <w:rFonts w:ascii="Times New Roman" w:hAnsi="Times New Roman" w:eastAsia="仿宋_GB2312"/>
          <w:bCs/>
          <w:color w:val="000000"/>
          <w:sz w:val="32"/>
          <w:szCs w:val="32"/>
        </w:rPr>
        <w:t>聚焦天目湖地区院老办公楼历史遗留问题，完成不动产权证办理、资产划拨及房产移交全流程。</w:t>
      </w:r>
    </w:p>
    <w:p w14:paraId="0A950CEA">
      <w:pPr>
        <w:overflowPunct w:val="0"/>
        <w:snapToGrid w:val="0"/>
        <w:spacing w:line="560" w:lineRule="exact"/>
        <w:ind w:firstLine="643" w:firstLineChars="200"/>
        <w:rPr>
          <w:rFonts w:ascii="Times New Roman" w:hAnsi="Times New Roman" w:eastAsia="仿宋_GB2312"/>
          <w:color w:val="000000"/>
          <w:sz w:val="32"/>
          <w:szCs w:val="32"/>
        </w:rPr>
      </w:pPr>
      <w:r>
        <w:rPr>
          <w:rFonts w:hint="eastAsia" w:ascii="Times New Roman" w:hAnsi="Times New Roman" w:eastAsia="仿宋_GB2312"/>
          <w:b/>
          <w:bCs/>
          <w:color w:val="000000"/>
          <w:sz w:val="32"/>
          <w:szCs w:val="32"/>
        </w:rPr>
        <w:t>下一步推进举措：</w:t>
      </w:r>
      <w:r>
        <w:rPr>
          <w:rFonts w:hint="eastAsia" w:ascii="仿宋_GB2312" w:hAnsi="仿宋_GB2312" w:eastAsia="仿宋_GB2312" w:cs="仿宋_GB2312"/>
          <w:sz w:val="32"/>
          <w:szCs w:val="32"/>
        </w:rPr>
        <w:t>针对拖欠租金及违约金问题，将持续关注，要求继续加强与法院对接，配合查找被执行人去向和财产线索，保持催缴工作力度不减，直至收回拖欠租金及违约金。同时以此为戒，切实增强风险意识、法治意识，全面、科学、精准决策，确保工程建设管理依法规范、风险稳控。</w:t>
      </w:r>
    </w:p>
    <w:p w14:paraId="0076828C">
      <w:pPr>
        <w:overflowPunct w:val="0"/>
        <w:snapToGrid w:val="0"/>
        <w:spacing w:line="580" w:lineRule="exact"/>
        <w:ind w:firstLine="640" w:firstLineChars="200"/>
        <w:rPr>
          <w:rFonts w:ascii="Times New Roman" w:hAnsi="Times New Roman" w:eastAsia="楷体_GB2312"/>
          <w:bCs/>
          <w:color w:val="000000"/>
          <w:sz w:val="32"/>
          <w:szCs w:val="32"/>
        </w:rPr>
      </w:pPr>
      <w:r>
        <w:rPr>
          <w:rFonts w:ascii="Times New Roman" w:hAnsi="Times New Roman" w:eastAsia="楷体_GB2312"/>
          <w:bCs/>
          <w:color w:val="000000"/>
          <w:sz w:val="32"/>
          <w:szCs w:val="32"/>
        </w:rPr>
        <w:t>（三）尚未启动整改的问题</w:t>
      </w:r>
    </w:p>
    <w:p w14:paraId="4191CDAB">
      <w:pPr>
        <w:overflowPunct w:val="0"/>
        <w:snapToGrid w:val="0"/>
        <w:spacing w:line="580" w:lineRule="exact"/>
        <w:ind w:firstLine="640" w:firstLineChars="200"/>
        <w:rPr>
          <w:rFonts w:ascii="Times New Roman" w:hAnsi="Times New Roman" w:eastAsia="仿宋_GB2312"/>
          <w:bCs/>
          <w:color w:val="000000"/>
          <w:sz w:val="32"/>
          <w:szCs w:val="32"/>
        </w:rPr>
      </w:pPr>
      <w:r>
        <w:rPr>
          <w:rFonts w:ascii="Times New Roman" w:hAnsi="Times New Roman" w:eastAsia="仿宋_GB2312"/>
          <w:bCs/>
          <w:color w:val="000000"/>
          <w:sz w:val="32"/>
          <w:szCs w:val="32"/>
        </w:rPr>
        <w:t>无</w:t>
      </w:r>
    </w:p>
    <w:p w14:paraId="686194C4">
      <w:pPr>
        <w:overflowPunct w:val="0"/>
        <w:snapToGrid w:val="0"/>
        <w:spacing w:line="580" w:lineRule="exact"/>
        <w:ind w:firstLine="640" w:firstLineChars="200"/>
        <w:rPr>
          <w:rFonts w:ascii="Times New Roman" w:hAnsi="Times New Roman" w:eastAsia="楷体_GB2312"/>
          <w:bCs/>
          <w:color w:val="000000"/>
          <w:sz w:val="32"/>
          <w:szCs w:val="32"/>
        </w:rPr>
      </w:pPr>
      <w:r>
        <w:rPr>
          <w:rFonts w:ascii="Times New Roman" w:hAnsi="Times New Roman" w:eastAsia="楷体_GB2312"/>
          <w:bCs/>
          <w:color w:val="000000"/>
          <w:sz w:val="32"/>
          <w:szCs w:val="32"/>
        </w:rPr>
        <w:t>（四）交办信访件办理情况</w:t>
      </w:r>
    </w:p>
    <w:p w14:paraId="283C489D">
      <w:pPr>
        <w:spacing w:line="580" w:lineRule="exact"/>
        <w:ind w:firstLine="64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无</w:t>
      </w:r>
    </w:p>
    <w:p w14:paraId="1724B702">
      <w:pPr>
        <w:spacing w:line="580" w:lineRule="exact"/>
        <w:ind w:firstLine="640"/>
        <w:rPr>
          <w:rFonts w:ascii="Times New Roman" w:hAnsi="Times New Roman" w:eastAsia="黑体"/>
          <w:bCs/>
          <w:color w:val="000000"/>
          <w:sz w:val="32"/>
          <w:szCs w:val="32"/>
        </w:rPr>
      </w:pPr>
      <w:r>
        <w:rPr>
          <w:rFonts w:ascii="Times New Roman" w:hAnsi="Times New Roman" w:eastAsia="黑体"/>
          <w:bCs/>
          <w:color w:val="000000"/>
          <w:sz w:val="32"/>
          <w:szCs w:val="32"/>
        </w:rPr>
        <w:t>三、下一步全面推进整改计划</w:t>
      </w:r>
    </w:p>
    <w:p w14:paraId="75A7A1BC">
      <w:pPr>
        <w:overflowPunct w:val="0"/>
        <w:snapToGrid w:val="0"/>
        <w:spacing w:line="58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通过持续整改推进，市检察院党组巡察整改工作取得了显著成效，但对照市委第六巡察组提出的整改要求，仍需持续强化整改认识、压实整改责任、加大整改力度，切实运用和巩固好市委巡察成果，坚持整改不到位不放过，确保整改不走过场、不敷衍塞责。</w:t>
      </w:r>
    </w:p>
    <w:p w14:paraId="7C2B5AF9">
      <w:pPr>
        <w:overflowPunct w:val="0"/>
        <w:snapToGrid w:val="0"/>
        <w:spacing w:line="580" w:lineRule="exact"/>
        <w:ind w:firstLine="640" w:firstLineChars="200"/>
        <w:rPr>
          <w:rFonts w:ascii="Times New Roman" w:hAnsi="Times New Roman" w:eastAsia="仿宋_GB2312"/>
          <w:color w:val="000000"/>
          <w:sz w:val="32"/>
          <w:szCs w:val="32"/>
        </w:rPr>
      </w:pPr>
      <w:r>
        <w:rPr>
          <w:rFonts w:ascii="Times New Roman" w:hAnsi="Times New Roman" w:eastAsia="楷体_GB2312"/>
          <w:color w:val="000000"/>
          <w:sz w:val="32"/>
          <w:szCs w:val="32"/>
        </w:rPr>
        <w:t>（一）铆足韧劲抓整改，持续巩固整改成效。</w:t>
      </w:r>
      <w:r>
        <w:rPr>
          <w:rFonts w:ascii="Times New Roman" w:hAnsi="Times New Roman" w:eastAsia="仿宋_GB2312"/>
          <w:color w:val="000000"/>
          <w:sz w:val="32"/>
          <w:szCs w:val="32"/>
        </w:rPr>
        <w:t>坚持整改目标不变、整改劲头不松、整改力度不减，进一步增强政治意识、责任意识和忧患意识，以高度的责任感和使命感抓实巡察整改后续工作。对已完成的整改任务，适时组织“回头看”开展成效核验，防止问题反弹回潮；对未完全解决的问题，聚焦干部交流渠道、专业人才培养、司法责任制落实等重点环节，严格按照整改方案紧盯不放、一抓到底，确保按时整改到位。</w:t>
      </w:r>
    </w:p>
    <w:p w14:paraId="6F867C25">
      <w:pPr>
        <w:overflowPunct w:val="0"/>
        <w:snapToGrid w:val="0"/>
        <w:spacing w:line="580" w:lineRule="exact"/>
        <w:ind w:firstLine="640" w:firstLineChars="200"/>
        <w:rPr>
          <w:rFonts w:ascii="Times New Roman" w:hAnsi="Times New Roman" w:eastAsia="仿宋_GB2312"/>
          <w:color w:val="000000"/>
          <w:sz w:val="32"/>
          <w:szCs w:val="32"/>
        </w:rPr>
      </w:pPr>
      <w:r>
        <w:rPr>
          <w:rFonts w:ascii="Times New Roman" w:hAnsi="Times New Roman" w:eastAsia="楷体_GB2312"/>
          <w:color w:val="000000"/>
          <w:sz w:val="32"/>
          <w:szCs w:val="32"/>
        </w:rPr>
        <w:t>（二）从严治检强责任，全面夯实队伍建设根基。</w:t>
      </w:r>
      <w:r>
        <w:rPr>
          <w:rFonts w:ascii="Times New Roman" w:hAnsi="Times New Roman" w:eastAsia="仿宋_GB2312"/>
          <w:color w:val="000000"/>
          <w:sz w:val="32"/>
          <w:szCs w:val="32"/>
        </w:rPr>
        <w:t>牢固树立纪律意识和规矩意识，从严落实党组主体责任和党组书记第一责任人责任，抓实班子带队伍“严”字当头，发挥“关键少数”示范引领作用。始终以严的基调强化纪律作风建设，常态化开展纪律教育和规矩教育，以常</w:t>
      </w:r>
      <w:r>
        <w:rPr>
          <w:rFonts w:hint="eastAsia" w:ascii="Times New Roman" w:hAnsi="Times New Roman" w:eastAsia="仿宋_GB2312"/>
          <w:color w:val="000000"/>
          <w:sz w:val="32"/>
          <w:szCs w:val="32"/>
        </w:rPr>
        <w:t>态化</w:t>
      </w:r>
      <w:r>
        <w:rPr>
          <w:rFonts w:ascii="Times New Roman" w:hAnsi="Times New Roman" w:eastAsia="仿宋_GB2312"/>
          <w:color w:val="000000"/>
          <w:sz w:val="32"/>
          <w:szCs w:val="32"/>
        </w:rPr>
        <w:t>监督推动责任落实落细，持续筑牢队伍思想防线、锤炼过硬纪律作风，为检察工作发展提供坚强队伍保障。</w:t>
      </w:r>
    </w:p>
    <w:p w14:paraId="12F14575">
      <w:pPr>
        <w:overflowPunct w:val="0"/>
        <w:snapToGrid w:val="0"/>
        <w:spacing w:line="580" w:lineRule="exact"/>
        <w:ind w:firstLine="640" w:firstLineChars="200"/>
        <w:rPr>
          <w:rFonts w:ascii="Times New Roman" w:hAnsi="Times New Roman" w:eastAsia="仿宋_GB2312"/>
          <w:color w:val="000000"/>
          <w:szCs w:val="32"/>
        </w:rPr>
      </w:pPr>
      <w:r>
        <w:rPr>
          <w:rFonts w:ascii="Times New Roman" w:hAnsi="Times New Roman" w:eastAsia="楷体_GB2312"/>
          <w:color w:val="000000"/>
          <w:sz w:val="32"/>
          <w:szCs w:val="32"/>
        </w:rPr>
        <w:t>（三）深化成果促提升，全面推动提质增效落地。</w:t>
      </w:r>
      <w:r>
        <w:rPr>
          <w:rFonts w:ascii="Times New Roman" w:hAnsi="Times New Roman" w:eastAsia="仿宋_GB2312"/>
          <w:color w:val="000000"/>
          <w:sz w:val="32"/>
          <w:szCs w:val="32"/>
        </w:rPr>
        <w:t>牢牢把握巡察整改与检察工作的结合点，以巡察整改为契机，健全完善制度机制、堵塞工作漏洞。将整改成果与争先创优、重大工作落实深度融合，把“问题清单”转化为“成果清单”，着力推动检察协管职责履行、重大任务落地见效，以整改实效激发内生动力，助推检察工作高质量发展。</w:t>
      </w:r>
    </w:p>
    <w:p w14:paraId="46813DF0">
      <w:pPr>
        <w:spacing w:line="580" w:lineRule="exact"/>
        <w:ind w:firstLine="640"/>
        <w:rPr>
          <w:rFonts w:ascii="Times New Roman" w:hAnsi="Times New Roman" w:eastAsia="仿宋_GB2312"/>
          <w:sz w:val="32"/>
          <w:szCs w:val="32"/>
        </w:rPr>
      </w:pPr>
      <w:r>
        <w:rPr>
          <w:rFonts w:ascii="Times New Roman" w:hAnsi="Times New Roman" w:eastAsia="仿宋_GB2312"/>
          <w:color w:val="000000"/>
          <w:sz w:val="32"/>
          <w:szCs w:val="32"/>
        </w:rPr>
        <w:t>欢迎广大干部群众对巡察整改落实情况进行监督。如有意见建议，请及时向我们反映。联系方式：电话</w:t>
      </w:r>
      <w:r>
        <w:rPr>
          <w:rFonts w:hint="eastAsia" w:ascii="Times New Roman" w:hAnsi="Times New Roman" w:eastAsia="仿宋_GB2312"/>
          <w:color w:val="000000"/>
          <w:sz w:val="32"/>
          <w:szCs w:val="32"/>
        </w:rPr>
        <w:t>：0519-85337519</w:t>
      </w:r>
      <w:r>
        <w:rPr>
          <w:rFonts w:ascii="Times New Roman" w:hAnsi="Times New Roman" w:eastAsia="仿宋_GB2312"/>
          <w:color w:val="000000"/>
          <w:sz w:val="32"/>
          <w:szCs w:val="32"/>
        </w:rPr>
        <w:t>；邮政信箱</w:t>
      </w:r>
      <w:r>
        <w:rPr>
          <w:rFonts w:hint="eastAsia" w:ascii="Times New Roman" w:hAnsi="Times New Roman" w:eastAsia="仿宋_GB2312"/>
          <w:color w:val="000000"/>
          <w:sz w:val="32"/>
          <w:szCs w:val="32"/>
        </w:rPr>
        <w:t>：江苏省常州市永宁北路10号，邮编：213000</w:t>
      </w:r>
      <w:r>
        <w:rPr>
          <w:rFonts w:ascii="Times New Roman" w:hAnsi="Times New Roman" w:eastAsia="仿宋_GB2312"/>
          <w:color w:val="000000"/>
          <w:sz w:val="32"/>
          <w:szCs w:val="32"/>
        </w:rPr>
        <w:t>；电子</w:t>
      </w:r>
      <w:r>
        <w:rPr>
          <w:rFonts w:ascii="Times New Roman" w:hAnsi="Times New Roman" w:eastAsia="仿宋_GB2312"/>
          <w:sz w:val="32"/>
          <w:szCs w:val="32"/>
        </w:rPr>
        <w:t>邮箱</w:t>
      </w:r>
      <w:r>
        <w:rPr>
          <w:rFonts w:hint="eastAsia" w:ascii="Times New Roman" w:hAnsi="Times New Roman" w:eastAsia="仿宋_GB2312"/>
          <w:sz w:val="32"/>
          <w:szCs w:val="32"/>
        </w:rPr>
        <w:t>：</w:t>
      </w:r>
      <w:r>
        <w:rPr>
          <w:rFonts w:hint="eastAsia" w:ascii="Times New Roman" w:hAnsi="Times New Roman" w:eastAsia="仿宋_GB2312"/>
          <w:sz w:val="32"/>
          <w:szCs w:val="32"/>
        </w:rPr>
        <w:fldChar w:fldCharType="begin"/>
      </w:r>
      <w:r>
        <w:rPr>
          <w:rFonts w:hint="eastAsia" w:ascii="Times New Roman" w:hAnsi="Times New Roman" w:eastAsia="仿宋_GB2312"/>
          <w:sz w:val="32"/>
          <w:szCs w:val="32"/>
        </w:rPr>
        <w:instrText xml:space="preserve"> HYPERLINK "mailto:czjcyjwdcc@163.com。" </w:instrText>
      </w:r>
      <w:r>
        <w:rPr>
          <w:rFonts w:hint="eastAsia" w:ascii="Times New Roman" w:hAnsi="Times New Roman" w:eastAsia="仿宋_GB2312"/>
          <w:sz w:val="32"/>
          <w:szCs w:val="32"/>
        </w:rPr>
        <w:fldChar w:fldCharType="separate"/>
      </w:r>
      <w:r>
        <w:rPr>
          <w:rStyle w:val="7"/>
          <w:rFonts w:hint="eastAsia" w:ascii="Times New Roman" w:hAnsi="Times New Roman" w:eastAsia="仿宋_GB2312"/>
          <w:color w:val="auto"/>
          <w:sz w:val="32"/>
          <w:szCs w:val="32"/>
          <w:u w:val="none"/>
        </w:rPr>
        <w:t>czjcyjwdcc@163.com</w:t>
      </w:r>
      <w:r>
        <w:rPr>
          <w:rStyle w:val="7"/>
          <w:rFonts w:ascii="Times New Roman" w:hAnsi="Times New Roman" w:eastAsia="仿宋_GB2312"/>
          <w:color w:val="auto"/>
          <w:sz w:val="32"/>
          <w:szCs w:val="32"/>
          <w:u w:val="none"/>
        </w:rPr>
        <w:t>。</w:t>
      </w:r>
      <w:r>
        <w:rPr>
          <w:rFonts w:hint="eastAsia" w:ascii="Times New Roman" w:hAnsi="Times New Roman" w:eastAsia="仿宋_GB2312"/>
          <w:sz w:val="32"/>
          <w:szCs w:val="32"/>
        </w:rPr>
        <w:fldChar w:fldCharType="end"/>
      </w:r>
    </w:p>
    <w:p w14:paraId="11A7B054">
      <w:pPr>
        <w:spacing w:line="580" w:lineRule="exact"/>
        <w:ind w:firstLine="64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w:t>
      </w:r>
    </w:p>
    <w:p w14:paraId="2FE97B39">
      <w:pPr>
        <w:spacing w:line="580" w:lineRule="exact"/>
        <w:ind w:firstLine="640"/>
        <w:rPr>
          <w:rFonts w:hint="eastAsia" w:ascii="Times New Roman" w:hAnsi="Times New Roman" w:eastAsia="仿宋_GB2312"/>
          <w:color w:val="000000"/>
          <w:sz w:val="32"/>
          <w:szCs w:val="32"/>
        </w:rPr>
      </w:pPr>
    </w:p>
    <w:p w14:paraId="086FB390">
      <w:pPr>
        <w:spacing w:line="580" w:lineRule="exact"/>
        <w:ind w:firstLine="64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984" w:right="1587" w:bottom="1587" w:left="1587" w:header="709" w:footer="136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BBFCDC-6E23-4674-A014-EAA00F34D74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4864F94-064E-4C66-B77C-54E542AD9296}"/>
  </w:font>
  <w:font w:name="方正小标宋_GBK">
    <w:panose1 w:val="02000000000000000000"/>
    <w:charset w:val="86"/>
    <w:family w:val="script"/>
    <w:pitch w:val="default"/>
    <w:sig w:usb0="A00002BF" w:usb1="38CF7CFA" w:usb2="00082016" w:usb3="00000000" w:csb0="00040001" w:csb1="00000000"/>
    <w:embedRegular r:id="rId3" w:fontKey="{FCDAFCD3-18F4-40A7-A18C-ECB3A702C5B2}"/>
  </w:font>
  <w:font w:name="仿宋_GB2312">
    <w:altName w:val="仿宋"/>
    <w:panose1 w:val="02010609030101010101"/>
    <w:charset w:val="86"/>
    <w:family w:val="modern"/>
    <w:pitch w:val="default"/>
    <w:sig w:usb0="00000001" w:usb1="080E0000" w:usb2="00000000" w:usb3="00000000" w:csb0="00040000" w:csb1="00000000"/>
    <w:embedRegular r:id="rId4" w:fontKey="{9D332E34-81AB-47C8-A646-17D0F9E08178}"/>
  </w:font>
  <w:font w:name="方正小标宋简体">
    <w:altName w:val="方正舒体"/>
    <w:panose1 w:val="02000000000000000000"/>
    <w:charset w:val="86"/>
    <w:family w:val="script"/>
    <w:pitch w:val="default"/>
    <w:sig w:usb0="A00002BF" w:usb1="184F6CFA" w:usb2="00000012" w:usb3="00000000" w:csb0="00040001" w:csb1="00000000"/>
    <w:embedRegular r:id="rId5" w:fontKey="{9166C15A-8BD1-4EA7-AE2B-7A1D686DBD13}"/>
  </w:font>
  <w:font w:name="楷体_GB2312">
    <w:altName w:val="楷体"/>
    <w:panose1 w:val="02010609030101010101"/>
    <w:charset w:val="86"/>
    <w:family w:val="modern"/>
    <w:pitch w:val="default"/>
    <w:sig w:usb0="00000001" w:usb1="080E0000" w:usb2="00000000" w:usb3="00000000" w:csb0="00040000" w:csb1="00000000"/>
    <w:embedRegular r:id="rId6" w:fontKey="{28C9069F-B612-498B-B203-7F60E0418C2E}"/>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A64C9">
    <w:pPr>
      <w:pStyle w:val="3"/>
      <w:wordWrap w:val="0"/>
      <w:ind w:right="181" w:rightChars="86" w:firstLine="560"/>
      <w:jc w:val="right"/>
    </w:pPr>
    <w:r>
      <w:rPr>
        <w:rFonts w:hint="eastAsia" w:ascii="宋体" w:hAnsi="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17</w:t>
    </w:r>
    <w:r>
      <w:rPr>
        <w:rFonts w:ascii="Times New Roman" w:hAnsi="Times New Roman"/>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DBD52">
    <w:pPr>
      <w:pStyle w:val="3"/>
      <w:ind w:firstLine="364" w:firstLineChars="130"/>
      <w:rPr>
        <w:rFonts w:ascii="宋体" w:hAnsi="宋体"/>
        <w:sz w:val="28"/>
        <w:szCs w:val="28"/>
      </w:rPr>
    </w:pPr>
    <w:r>
      <w:rPr>
        <w:rFonts w:hint="eastAsia" w:ascii="宋体" w:hAnsi="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18</w:t>
    </w:r>
    <w:r>
      <w:rPr>
        <w:rFonts w:ascii="Times New Roman" w:hAnsi="Times New Roman"/>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68655">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E15D3">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E175F">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1581F">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7AC"/>
    <w:rsid w:val="00381B3D"/>
    <w:rsid w:val="00AC47AC"/>
    <w:rsid w:val="00C52436"/>
    <w:rsid w:val="01AA7852"/>
    <w:rsid w:val="02501425"/>
    <w:rsid w:val="02EB4148"/>
    <w:rsid w:val="03305FFE"/>
    <w:rsid w:val="04325EFB"/>
    <w:rsid w:val="04477AA3"/>
    <w:rsid w:val="048C3708"/>
    <w:rsid w:val="05740424"/>
    <w:rsid w:val="057F6DC9"/>
    <w:rsid w:val="066B0676"/>
    <w:rsid w:val="07C22470"/>
    <w:rsid w:val="07C66F31"/>
    <w:rsid w:val="08017F69"/>
    <w:rsid w:val="084E7652"/>
    <w:rsid w:val="087D3A94"/>
    <w:rsid w:val="08F31FA8"/>
    <w:rsid w:val="091268D2"/>
    <w:rsid w:val="0935611C"/>
    <w:rsid w:val="097F55EA"/>
    <w:rsid w:val="0A03446D"/>
    <w:rsid w:val="0B3142C6"/>
    <w:rsid w:val="0B6C7DF0"/>
    <w:rsid w:val="0C7E7DDA"/>
    <w:rsid w:val="0D326B38"/>
    <w:rsid w:val="0D9C49BC"/>
    <w:rsid w:val="0DA5080C"/>
    <w:rsid w:val="0DBE0DD6"/>
    <w:rsid w:val="0E82382F"/>
    <w:rsid w:val="0F4C2412"/>
    <w:rsid w:val="0FFA3C1C"/>
    <w:rsid w:val="10B1077E"/>
    <w:rsid w:val="11D010D8"/>
    <w:rsid w:val="12617F82"/>
    <w:rsid w:val="144E09DA"/>
    <w:rsid w:val="14D7452C"/>
    <w:rsid w:val="152A4FA3"/>
    <w:rsid w:val="15575855"/>
    <w:rsid w:val="15C24FDC"/>
    <w:rsid w:val="185C1918"/>
    <w:rsid w:val="193C52A5"/>
    <w:rsid w:val="19410B0E"/>
    <w:rsid w:val="1A566C3F"/>
    <w:rsid w:val="1A766595"/>
    <w:rsid w:val="1B19329F"/>
    <w:rsid w:val="1BBE01F3"/>
    <w:rsid w:val="1C202C5C"/>
    <w:rsid w:val="1C5446B4"/>
    <w:rsid w:val="1C6E1C1A"/>
    <w:rsid w:val="1CD001DE"/>
    <w:rsid w:val="1D234B5F"/>
    <w:rsid w:val="1D444728"/>
    <w:rsid w:val="1D6B6159"/>
    <w:rsid w:val="1DCD0BC2"/>
    <w:rsid w:val="1ECA4992"/>
    <w:rsid w:val="1F087540"/>
    <w:rsid w:val="1F354C71"/>
    <w:rsid w:val="1F7532BF"/>
    <w:rsid w:val="1FD92910"/>
    <w:rsid w:val="208A74FE"/>
    <w:rsid w:val="20915ED7"/>
    <w:rsid w:val="20A7394C"/>
    <w:rsid w:val="20D858B3"/>
    <w:rsid w:val="21E32762"/>
    <w:rsid w:val="22726258"/>
    <w:rsid w:val="22A00653"/>
    <w:rsid w:val="22CA1B74"/>
    <w:rsid w:val="23D22A8E"/>
    <w:rsid w:val="24284DA4"/>
    <w:rsid w:val="24BB5C18"/>
    <w:rsid w:val="256E643A"/>
    <w:rsid w:val="26EA00EF"/>
    <w:rsid w:val="2A17569E"/>
    <w:rsid w:val="2AC33130"/>
    <w:rsid w:val="2B285689"/>
    <w:rsid w:val="2B6366C1"/>
    <w:rsid w:val="2BB86A0D"/>
    <w:rsid w:val="2BE643FB"/>
    <w:rsid w:val="2BF043F9"/>
    <w:rsid w:val="2CA62D0A"/>
    <w:rsid w:val="2D677C06"/>
    <w:rsid w:val="2DCC054E"/>
    <w:rsid w:val="2F386675"/>
    <w:rsid w:val="2F416D1A"/>
    <w:rsid w:val="2FBD6A44"/>
    <w:rsid w:val="30201025"/>
    <w:rsid w:val="30270434"/>
    <w:rsid w:val="3029612C"/>
    <w:rsid w:val="309335A5"/>
    <w:rsid w:val="30FA3624"/>
    <w:rsid w:val="31532D34"/>
    <w:rsid w:val="31750EFD"/>
    <w:rsid w:val="32333292"/>
    <w:rsid w:val="326C418B"/>
    <w:rsid w:val="328533C1"/>
    <w:rsid w:val="32EB1476"/>
    <w:rsid w:val="33C74591"/>
    <w:rsid w:val="35D02BA5"/>
    <w:rsid w:val="35DA3A24"/>
    <w:rsid w:val="3656579F"/>
    <w:rsid w:val="371F3DE4"/>
    <w:rsid w:val="38710670"/>
    <w:rsid w:val="391F00CC"/>
    <w:rsid w:val="39854407"/>
    <w:rsid w:val="39C26CA9"/>
    <w:rsid w:val="3A3F02FA"/>
    <w:rsid w:val="3A695377"/>
    <w:rsid w:val="3A6C24ED"/>
    <w:rsid w:val="3A976388"/>
    <w:rsid w:val="3AE4838B"/>
    <w:rsid w:val="3B221820"/>
    <w:rsid w:val="3B5129DA"/>
    <w:rsid w:val="3CE31410"/>
    <w:rsid w:val="3CFDA6ED"/>
    <w:rsid w:val="3DB039E8"/>
    <w:rsid w:val="3DB91FE1"/>
    <w:rsid w:val="3DEAE8A6"/>
    <w:rsid w:val="3DEC2546"/>
    <w:rsid w:val="3E573E64"/>
    <w:rsid w:val="3EAB0813"/>
    <w:rsid w:val="3EDE527B"/>
    <w:rsid w:val="3EF21DDE"/>
    <w:rsid w:val="3EFFE5B0"/>
    <w:rsid w:val="3F6BC19D"/>
    <w:rsid w:val="3FFD6C8D"/>
    <w:rsid w:val="4033445D"/>
    <w:rsid w:val="40336F39"/>
    <w:rsid w:val="411E510D"/>
    <w:rsid w:val="412F2E76"/>
    <w:rsid w:val="41475AF7"/>
    <w:rsid w:val="446B0669"/>
    <w:rsid w:val="45181E73"/>
    <w:rsid w:val="45525385"/>
    <w:rsid w:val="456B6447"/>
    <w:rsid w:val="457A48DC"/>
    <w:rsid w:val="45D433E5"/>
    <w:rsid w:val="46146ADE"/>
    <w:rsid w:val="467807AC"/>
    <w:rsid w:val="47571378"/>
    <w:rsid w:val="47AF4D11"/>
    <w:rsid w:val="47CB141F"/>
    <w:rsid w:val="484511D1"/>
    <w:rsid w:val="48873598"/>
    <w:rsid w:val="493A2D00"/>
    <w:rsid w:val="49494CF1"/>
    <w:rsid w:val="4B904E59"/>
    <w:rsid w:val="4C975D73"/>
    <w:rsid w:val="4CDB2104"/>
    <w:rsid w:val="4D3A507C"/>
    <w:rsid w:val="4D550108"/>
    <w:rsid w:val="4DC25072"/>
    <w:rsid w:val="4EA84268"/>
    <w:rsid w:val="4EC40427"/>
    <w:rsid w:val="4F1E452A"/>
    <w:rsid w:val="4FB77937"/>
    <w:rsid w:val="50CC6933"/>
    <w:rsid w:val="514A7858"/>
    <w:rsid w:val="5180188E"/>
    <w:rsid w:val="51D13AD5"/>
    <w:rsid w:val="51FED7AB"/>
    <w:rsid w:val="52021EE1"/>
    <w:rsid w:val="526861E8"/>
    <w:rsid w:val="53487DC7"/>
    <w:rsid w:val="538A03E0"/>
    <w:rsid w:val="53A65F58"/>
    <w:rsid w:val="53AC0356"/>
    <w:rsid w:val="53AE40CE"/>
    <w:rsid w:val="540939FA"/>
    <w:rsid w:val="540E2DBF"/>
    <w:rsid w:val="55456CB4"/>
    <w:rsid w:val="555667CB"/>
    <w:rsid w:val="56C854A7"/>
    <w:rsid w:val="56D24B3D"/>
    <w:rsid w:val="57580F21"/>
    <w:rsid w:val="57EB0BF9"/>
    <w:rsid w:val="589870FB"/>
    <w:rsid w:val="58A81A34"/>
    <w:rsid w:val="5A0A1084"/>
    <w:rsid w:val="5A126AA9"/>
    <w:rsid w:val="5BD462C2"/>
    <w:rsid w:val="5BF71CA6"/>
    <w:rsid w:val="5C95407D"/>
    <w:rsid w:val="5CE13766"/>
    <w:rsid w:val="5D99194B"/>
    <w:rsid w:val="5DD9443E"/>
    <w:rsid w:val="5DED613B"/>
    <w:rsid w:val="5E73E11A"/>
    <w:rsid w:val="5EE3DA5E"/>
    <w:rsid w:val="5EE67BC8"/>
    <w:rsid w:val="5EEF2AE3"/>
    <w:rsid w:val="5EFA7CCD"/>
    <w:rsid w:val="5F074FDA"/>
    <w:rsid w:val="5FC66C44"/>
    <w:rsid w:val="5FFA4FED"/>
    <w:rsid w:val="60952CF0"/>
    <w:rsid w:val="614F7D2F"/>
    <w:rsid w:val="62532544"/>
    <w:rsid w:val="6256605D"/>
    <w:rsid w:val="625E1A6A"/>
    <w:rsid w:val="6451156A"/>
    <w:rsid w:val="64794284"/>
    <w:rsid w:val="64BD0615"/>
    <w:rsid w:val="64C03C61"/>
    <w:rsid w:val="64C5571C"/>
    <w:rsid w:val="65ECDFAE"/>
    <w:rsid w:val="661C136B"/>
    <w:rsid w:val="662B03CC"/>
    <w:rsid w:val="66DB23CA"/>
    <w:rsid w:val="678C0773"/>
    <w:rsid w:val="67D12BD9"/>
    <w:rsid w:val="67DFFA4A"/>
    <w:rsid w:val="68A11FFC"/>
    <w:rsid w:val="69B79CB1"/>
    <w:rsid w:val="6A0C16F7"/>
    <w:rsid w:val="6A141FCB"/>
    <w:rsid w:val="6A250911"/>
    <w:rsid w:val="6B20545A"/>
    <w:rsid w:val="6BEC358E"/>
    <w:rsid w:val="6C7F9869"/>
    <w:rsid w:val="6D125FF2"/>
    <w:rsid w:val="6DE309C1"/>
    <w:rsid w:val="6E934195"/>
    <w:rsid w:val="6EE40E94"/>
    <w:rsid w:val="6EF2535F"/>
    <w:rsid w:val="6F482C01"/>
    <w:rsid w:val="6F6D49E6"/>
    <w:rsid w:val="6F712728"/>
    <w:rsid w:val="6F79782E"/>
    <w:rsid w:val="6F7E40AC"/>
    <w:rsid w:val="6F7F8617"/>
    <w:rsid w:val="6FBB27F8"/>
    <w:rsid w:val="6FFD266F"/>
    <w:rsid w:val="6FFF438D"/>
    <w:rsid w:val="705067E1"/>
    <w:rsid w:val="707D4D82"/>
    <w:rsid w:val="718A7AD1"/>
    <w:rsid w:val="721675B7"/>
    <w:rsid w:val="72A03324"/>
    <w:rsid w:val="733F6699"/>
    <w:rsid w:val="73C236A0"/>
    <w:rsid w:val="743C0E2B"/>
    <w:rsid w:val="74786307"/>
    <w:rsid w:val="749D3FBF"/>
    <w:rsid w:val="74C0380A"/>
    <w:rsid w:val="74F49EB4"/>
    <w:rsid w:val="75D96246"/>
    <w:rsid w:val="75ED5D32"/>
    <w:rsid w:val="75FD86B8"/>
    <w:rsid w:val="7709010E"/>
    <w:rsid w:val="77C81353"/>
    <w:rsid w:val="77DE14AA"/>
    <w:rsid w:val="77F2510D"/>
    <w:rsid w:val="77FBBC59"/>
    <w:rsid w:val="78F4465D"/>
    <w:rsid w:val="79A100AE"/>
    <w:rsid w:val="79F64EA2"/>
    <w:rsid w:val="7B641393"/>
    <w:rsid w:val="7B7FAABF"/>
    <w:rsid w:val="7B8E01BE"/>
    <w:rsid w:val="7BBC0A68"/>
    <w:rsid w:val="7BBE4F37"/>
    <w:rsid w:val="7C7BA166"/>
    <w:rsid w:val="7CFE4EA1"/>
    <w:rsid w:val="7D653887"/>
    <w:rsid w:val="7DDF5F3F"/>
    <w:rsid w:val="7DFBB86D"/>
    <w:rsid w:val="7EDBAF9B"/>
    <w:rsid w:val="7EEFEBD1"/>
    <w:rsid w:val="7EFB8276"/>
    <w:rsid w:val="7F77B1FC"/>
    <w:rsid w:val="7F9BE0C6"/>
    <w:rsid w:val="7FAF3F29"/>
    <w:rsid w:val="7FBFC581"/>
    <w:rsid w:val="7FD7D496"/>
    <w:rsid w:val="7FFD116C"/>
    <w:rsid w:val="7FFD819B"/>
    <w:rsid w:val="7FFD9870"/>
    <w:rsid w:val="84F2AA4C"/>
    <w:rsid w:val="8BBD16EE"/>
    <w:rsid w:val="8EEB295D"/>
    <w:rsid w:val="8FFDC085"/>
    <w:rsid w:val="91FD61E6"/>
    <w:rsid w:val="9D4B5CFF"/>
    <w:rsid w:val="9DF59E38"/>
    <w:rsid w:val="9FFF9AE1"/>
    <w:rsid w:val="9FFFC9C6"/>
    <w:rsid w:val="A7F70130"/>
    <w:rsid w:val="A9F6C42B"/>
    <w:rsid w:val="AEFF958F"/>
    <w:rsid w:val="AF72F19D"/>
    <w:rsid w:val="B3FE98C8"/>
    <w:rsid w:val="B5BAABCB"/>
    <w:rsid w:val="B5E1F0B6"/>
    <w:rsid w:val="BA7B23C6"/>
    <w:rsid w:val="BAE60059"/>
    <w:rsid w:val="BBFF5BE5"/>
    <w:rsid w:val="BECE1287"/>
    <w:rsid w:val="BEFFF0BC"/>
    <w:rsid w:val="BFFF6908"/>
    <w:rsid w:val="CD3EDDE9"/>
    <w:rsid w:val="CD3FC10D"/>
    <w:rsid w:val="CDFE9FE5"/>
    <w:rsid w:val="CFCEA104"/>
    <w:rsid w:val="CFFF7263"/>
    <w:rsid w:val="D6B206C5"/>
    <w:rsid w:val="D6F58D1D"/>
    <w:rsid w:val="DBFE8024"/>
    <w:rsid w:val="DDD77652"/>
    <w:rsid w:val="DDFE1658"/>
    <w:rsid w:val="DEFFB3E4"/>
    <w:rsid w:val="DF6DB57A"/>
    <w:rsid w:val="DFE520B3"/>
    <w:rsid w:val="DFF2C3EA"/>
    <w:rsid w:val="DFF3C990"/>
    <w:rsid w:val="DFF7E9E8"/>
    <w:rsid w:val="DFFE502F"/>
    <w:rsid w:val="DFFF39D1"/>
    <w:rsid w:val="E6EE8B0A"/>
    <w:rsid w:val="E73FDB6E"/>
    <w:rsid w:val="E97FE572"/>
    <w:rsid w:val="EBCEF327"/>
    <w:rsid w:val="ECAE8611"/>
    <w:rsid w:val="EDD0EDE2"/>
    <w:rsid w:val="EDEF358D"/>
    <w:rsid w:val="EE9FFD40"/>
    <w:rsid w:val="EEEFD2D1"/>
    <w:rsid w:val="EFA7B50A"/>
    <w:rsid w:val="EFAF6C99"/>
    <w:rsid w:val="EFEABD2B"/>
    <w:rsid w:val="EFFB761D"/>
    <w:rsid w:val="F0EC3634"/>
    <w:rsid w:val="F38D895D"/>
    <w:rsid w:val="F3DF1913"/>
    <w:rsid w:val="F3DF5793"/>
    <w:rsid w:val="F3ED75EF"/>
    <w:rsid w:val="F6FF96DF"/>
    <w:rsid w:val="F7671A83"/>
    <w:rsid w:val="F7B75ED8"/>
    <w:rsid w:val="F7BF75E6"/>
    <w:rsid w:val="F8EF6FE2"/>
    <w:rsid w:val="F9CF8CB2"/>
    <w:rsid w:val="FA5DA317"/>
    <w:rsid w:val="FAF41D82"/>
    <w:rsid w:val="FB3BD7B7"/>
    <w:rsid w:val="FB7E255A"/>
    <w:rsid w:val="FBBFF79C"/>
    <w:rsid w:val="FBC75076"/>
    <w:rsid w:val="FBDB9FE5"/>
    <w:rsid w:val="FBED6BFB"/>
    <w:rsid w:val="FBEF6A2A"/>
    <w:rsid w:val="FCBF7AE1"/>
    <w:rsid w:val="FCDF4637"/>
    <w:rsid w:val="FD338641"/>
    <w:rsid w:val="FD7F9989"/>
    <w:rsid w:val="FD7F9BE0"/>
    <w:rsid w:val="FDF3690E"/>
    <w:rsid w:val="FE597C68"/>
    <w:rsid w:val="FE734873"/>
    <w:rsid w:val="FEF62A34"/>
    <w:rsid w:val="FF978F1E"/>
    <w:rsid w:val="FF9F1021"/>
    <w:rsid w:val="FFBF583D"/>
    <w:rsid w:val="FFDB4746"/>
    <w:rsid w:val="FFDF9A6B"/>
    <w:rsid w:val="FFEA280F"/>
    <w:rsid w:val="FFF6DA84"/>
    <w:rsid w:val="FFF99B5A"/>
    <w:rsid w:val="FFFC2C7B"/>
    <w:rsid w:val="FFFC32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nhideWhenUsed/>
    <w:qFormat/>
    <w:uiPriority w:val="99"/>
    <w:pPr>
      <w:tabs>
        <w:tab w:val="center" w:pos="4153"/>
        <w:tab w:val="right" w:pos="8306"/>
      </w:tabs>
      <w:spacing w:line="240" w:lineRule="atLeast"/>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pacing w:line="240" w:lineRule="atLeast"/>
      <w:jc w:val="center"/>
    </w:pPr>
    <w:rPr>
      <w:sz w:val="18"/>
      <w:szCs w:val="18"/>
    </w:rPr>
  </w:style>
  <w:style w:type="character" w:styleId="7">
    <w:name w:val="Hyperlink"/>
    <w:uiPriority w:val="0"/>
    <w:rPr>
      <w:color w:val="0000FF"/>
      <w:u w:val="single"/>
    </w:rPr>
  </w:style>
  <w:style w:type="paragraph" w:styleId="8">
    <w:name w:val=""/>
    <w:unhideWhenUsed/>
    <w:uiPriority w:val="99"/>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18179</Words>
  <Characters>18633</Characters>
  <Lines>145</Lines>
  <Paragraphs>40</Paragraphs>
  <TotalTime>109</TotalTime>
  <ScaleCrop>false</ScaleCrop>
  <LinksUpToDate>false</LinksUpToDate>
  <CharactersWithSpaces>18722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2014-11-08T04:08:00Z</dcterms:created>
  <dc:creator>Administrator</dc:creator>
  <cp:lastModifiedBy>Says_L✨</cp:lastModifiedBy>
  <cp:lastPrinted>2026-07-13T02:12:00Z</cp:lastPrinted>
  <dcterms:modified xsi:type="dcterms:W3CDTF">2026-08-28T01:21:31Z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AC6902CA14B1432E98E54424A7FCEEFF_13</vt:lpwstr>
  </property>
  <property fmtid="{D5CDD505-2E9C-101B-9397-08002B2CF9AE}" pid="4" name="KSOTemplateDocerSaveRecord">
    <vt:lpwstr>eyJoZGlkIjoiM2EwYWQxMzYyYTY3MDllZTljMzU3NzZiNjU5NjJjOTEiLCJ1c2VySWQiOiIxMzI5OTg0MDUyIn0=</vt:lpwstr>
  </property>
</Properties>
</file>